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993"/>
        </w:tabs>
        <w:suppressAutoHyphens/>
        <w:spacing w:before="120" w:after="120" w:line="240" w:lineRule="auto"/>
        <w:ind w:left="567"/>
        <w:jc w:val="right"/>
        <w:rPr>
          <w:rFonts w:ascii="Times New Roman" w:hAnsi="Times New Roman" w:eastAsia="Times New Roman" w:cs="Times New Roman"/>
          <w:sz w:val="24"/>
          <w:szCs w:val="24"/>
          <w:lang w:val="bg-BG"/>
        </w:rPr>
      </w:pPr>
      <w:r>
        <w:rPr>
          <w:rFonts w:ascii="Times New Roman" w:hAnsi="Times New Roman" w:eastAsia="Times New Roman" w:cs="Times New Roman"/>
          <w:sz w:val="24"/>
          <w:szCs w:val="24"/>
          <w:lang w:val="bg-BG"/>
        </w:rPr>
        <w:t>Приложение № 13 към т. 1, буква „м“</w:t>
      </w:r>
    </w:p>
    <w:p>
      <w:pPr>
        <w:tabs>
          <w:tab w:val="left" w:pos="0"/>
          <w:tab w:val="left" w:pos="426"/>
          <w:tab w:val="left" w:pos="567"/>
        </w:tabs>
        <w:spacing w:after="0" w:line="360" w:lineRule="auto"/>
        <w:jc w:val="center"/>
        <w:rPr>
          <w:rFonts w:ascii="Times New Roman" w:hAnsi="Times New Roman" w:eastAsia="Times New Roman" w:cs="Times New Roman"/>
          <w:b/>
          <w:sz w:val="24"/>
          <w:szCs w:val="24"/>
          <w:lang w:val="bg-BG" w:eastAsia="bg-BG"/>
        </w:rPr>
      </w:pPr>
    </w:p>
    <w:p>
      <w:pPr>
        <w:tabs>
          <w:tab w:val="left" w:pos="0"/>
          <w:tab w:val="left" w:pos="426"/>
          <w:tab w:val="left" w:pos="567"/>
        </w:tabs>
        <w:spacing w:after="0" w:line="360" w:lineRule="auto"/>
        <w:jc w:val="center"/>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НАЦИОНАЛНА ПРОГРАМА</w:t>
      </w:r>
    </w:p>
    <w:p>
      <w:pPr>
        <w:tabs>
          <w:tab w:val="left" w:pos="0"/>
          <w:tab w:val="left" w:pos="426"/>
          <w:tab w:val="left" w:pos="567"/>
        </w:tabs>
        <w:spacing w:after="0" w:line="360" w:lineRule="auto"/>
        <w:jc w:val="center"/>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 xml:space="preserve">„РОДЕН  ЕЗИК И КУЛТУРА ЗАД ГРАНИЦА“ </w:t>
      </w:r>
    </w:p>
    <w:p>
      <w:pPr>
        <w:pStyle w:val="11"/>
        <w:tabs>
          <w:tab w:val="left" w:pos="993"/>
        </w:tabs>
        <w:spacing w:before="120" w:after="120"/>
        <w:ind w:left="567" w:firstLine="0"/>
        <w:jc w:val="both"/>
        <w:rPr>
          <w:i/>
          <w:iCs/>
        </w:rPr>
      </w:pPr>
    </w:p>
    <w:p>
      <w:pPr>
        <w:pStyle w:val="12"/>
        <w:ind w:left="360"/>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 ОПИСАНИЕ НА ПРОГРАМАТА </w:t>
      </w:r>
    </w:p>
    <w:p>
      <w:pPr>
        <w:tabs>
          <w:tab w:val="left" w:pos="0"/>
          <w:tab w:val="left" w:pos="1080"/>
        </w:tabs>
        <w:spacing w:after="0" w:line="360" w:lineRule="auto"/>
        <w:ind w:right="-23"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Програмата е свързана с изпълнение на държавната политика по отношение на българите в чужбина за съхраняване и популяризиране  на българското езиково и етнокултурно пространство зад граница и на националната, културната и духовната идентичност на българските граждани по света и на българските общности в чужбина. Създава условия за мотивиране изучаването на български език и литература, история и география на България от българите зад граница, както и провеждането на дейности, които съдействат за съхраняване на националното самосъзнание, бит и култура. </w:t>
      </w:r>
    </w:p>
    <w:p>
      <w:pPr>
        <w:tabs>
          <w:tab w:val="left" w:pos="0"/>
          <w:tab w:val="left" w:pos="1080"/>
        </w:tabs>
        <w:spacing w:after="0" w:line="360" w:lineRule="auto"/>
        <w:ind w:right="-23"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Реализира се от 2009 г., като през учебната 2023/2024 година чрез нея се подпомага обучението, организирано в 138 български неделни училища (БНУ) в чужбина, провеждането на форуми, майсторски класове, краткосрочни обучения на учители, изготвяне на нови учебни програми и електронни ресурси, с фокус преподаване на български език в чуждоезикова среда. </w:t>
      </w:r>
    </w:p>
    <w:p>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xml:space="preserve">За осигуряване на устойчивост и подобряване на условията за осъществяване на ефективни образователно-възпитателни дейности, при отчитане </w:t>
      </w:r>
      <w:r>
        <w:rPr>
          <w:rFonts w:hint="default" w:ascii="Times New Roman" w:hAnsi="Times New Roman" w:cs="Times New Roman"/>
          <w:sz w:val="24"/>
          <w:szCs w:val="24"/>
          <w:lang w:val="bg-BG"/>
        </w:rPr>
        <w:t xml:space="preserve">на </w:t>
      </w:r>
      <w:r>
        <w:rPr>
          <w:rFonts w:ascii="Times New Roman" w:hAnsi="Times New Roman" w:cs="Times New Roman"/>
          <w:sz w:val="24"/>
          <w:szCs w:val="24"/>
          <w:lang w:val="bg-BG"/>
        </w:rPr>
        <w:t>опита на</w:t>
      </w:r>
      <w:r>
        <w:rPr>
          <w:rFonts w:hint="default" w:ascii="Times New Roman" w:hAnsi="Times New Roman" w:cs="Times New Roman"/>
          <w:sz w:val="24"/>
          <w:szCs w:val="24"/>
          <w:lang w:val="bg-BG"/>
        </w:rPr>
        <w:t xml:space="preserve"> </w:t>
      </w:r>
      <w:r>
        <w:rPr>
          <w:rFonts w:ascii="Times New Roman" w:hAnsi="Times New Roman" w:cs="Times New Roman"/>
          <w:sz w:val="24"/>
          <w:szCs w:val="24"/>
          <w:lang w:val="bg-BG"/>
        </w:rPr>
        <w:t>учителите от БНУ в чужбина и спецификата на обучението по български език в различните страни, НП „Роден език и култура зад граница“ – 2024 се реализира в три модула:</w:t>
      </w:r>
    </w:p>
    <w:p>
      <w:pPr>
        <w:spacing w:after="0" w:line="360" w:lineRule="auto"/>
        <w:ind w:firstLine="720"/>
        <w:jc w:val="both"/>
        <w:rPr>
          <w:rFonts w:ascii="Times New Roman" w:hAnsi="Times New Roman" w:cs="Times New Roman"/>
          <w:i/>
          <w:iCs/>
          <w:sz w:val="24"/>
          <w:szCs w:val="24"/>
          <w:lang w:val="bg-BG"/>
        </w:rPr>
      </w:pPr>
      <w:bookmarkStart w:id="0" w:name="_Hlk156850481"/>
      <w:r>
        <w:rPr>
          <w:rFonts w:ascii="Times New Roman" w:hAnsi="Times New Roman" w:cs="Times New Roman"/>
          <w:b/>
          <w:bCs/>
          <w:sz w:val="24"/>
          <w:szCs w:val="24"/>
          <w:lang w:val="bg-BG"/>
        </w:rPr>
        <w:t>Модул 1</w:t>
      </w:r>
      <w:r>
        <w:rPr>
          <w:rFonts w:ascii="Times New Roman" w:hAnsi="Times New Roman" w:cs="Times New Roman"/>
          <w:sz w:val="24"/>
          <w:szCs w:val="24"/>
          <w:lang w:val="bg-BG"/>
        </w:rPr>
        <w:t xml:space="preserve"> </w:t>
      </w:r>
      <w:r>
        <w:rPr>
          <w:rFonts w:ascii="Times New Roman" w:hAnsi="Times New Roman" w:cs="Times New Roman"/>
          <w:i/>
          <w:iCs/>
          <w:sz w:val="24"/>
          <w:szCs w:val="24"/>
          <w:lang w:val="bg-BG"/>
        </w:rPr>
        <w:t>„Подпомагане на обучението по български език и литература, по история на България и по география на България“</w:t>
      </w:r>
      <w:bookmarkEnd w:id="0"/>
    </w:p>
    <w:p>
      <w:pPr>
        <w:spacing w:after="0" w:line="360" w:lineRule="auto"/>
        <w:ind w:firstLine="720"/>
        <w:jc w:val="both"/>
        <w:rPr>
          <w:rFonts w:ascii="Times New Roman" w:hAnsi="Times New Roman" w:cs="Times New Roman"/>
          <w:b/>
          <w:bCs/>
          <w:sz w:val="24"/>
          <w:szCs w:val="24"/>
          <w:lang w:val="bg-BG"/>
        </w:rPr>
      </w:pPr>
      <w:bookmarkStart w:id="1" w:name="_Hlk156850519"/>
      <w:r>
        <w:rPr>
          <w:rFonts w:ascii="Times New Roman" w:hAnsi="Times New Roman" w:cs="Times New Roman"/>
          <w:b/>
          <w:bCs/>
          <w:sz w:val="24"/>
          <w:szCs w:val="24"/>
          <w:lang w:val="bg-BG"/>
        </w:rPr>
        <w:t xml:space="preserve">Модул 2 </w:t>
      </w:r>
      <w:r>
        <w:rPr>
          <w:rFonts w:ascii="Times New Roman" w:hAnsi="Times New Roman" w:cs="Times New Roman"/>
          <w:i/>
          <w:iCs/>
          <w:sz w:val="24"/>
          <w:szCs w:val="24"/>
          <w:lang w:val="bg-BG"/>
        </w:rPr>
        <w:t>„Квалификация на учители в българските неделни училища в чужбина“</w:t>
      </w:r>
    </w:p>
    <w:p>
      <w:pPr>
        <w:spacing w:after="0" w:line="360" w:lineRule="auto"/>
        <w:ind w:firstLine="720"/>
        <w:jc w:val="both"/>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Модул 3 </w:t>
      </w:r>
      <w:r>
        <w:rPr>
          <w:rFonts w:ascii="Times New Roman" w:hAnsi="Times New Roman" w:cs="Times New Roman"/>
          <w:sz w:val="24"/>
          <w:szCs w:val="24"/>
          <w:lang w:val="bg-BG"/>
        </w:rPr>
        <w:t>„</w:t>
      </w:r>
      <w:r>
        <w:rPr>
          <w:rFonts w:ascii="Times New Roman" w:hAnsi="Times New Roman" w:cs="Times New Roman"/>
          <w:i/>
          <w:iCs/>
          <w:sz w:val="24"/>
          <w:szCs w:val="24"/>
          <w:lang w:val="bg-BG"/>
        </w:rPr>
        <w:t>Обмен на добри практики и създаване на образователни ресурси за обучението, организирано в чужбина“</w:t>
      </w:r>
    </w:p>
    <w:bookmarkEnd w:id="1"/>
    <w:p>
      <w:pPr>
        <w:spacing w:after="0" w:line="360" w:lineRule="auto"/>
        <w:jc w:val="both"/>
        <w:rPr>
          <w:rFonts w:ascii="Times New Roman" w:hAnsi="Times New Roman" w:cs="Times New Roman"/>
          <w:sz w:val="24"/>
          <w:szCs w:val="24"/>
          <w:lang w:val="bg-BG"/>
        </w:rPr>
      </w:pPr>
    </w:p>
    <w:p>
      <w:pPr>
        <w:rPr>
          <w:rFonts w:ascii="Times New Roman" w:hAnsi="Times New Roman" w:cs="Times New Roman"/>
          <w:b/>
          <w:bCs/>
          <w:sz w:val="24"/>
          <w:szCs w:val="24"/>
          <w:lang w:val="bg-BG"/>
        </w:rPr>
      </w:pPr>
      <w:r>
        <w:rPr>
          <w:rFonts w:ascii="Times New Roman" w:hAnsi="Times New Roman" w:cs="Times New Roman"/>
          <w:b/>
          <w:bCs/>
          <w:sz w:val="24"/>
          <w:szCs w:val="24"/>
          <w:lang w:val="bg-BG"/>
        </w:rPr>
        <w:t>2. ЦЕЛИ И ОБХВАТ НА ПРОГРАМАТА</w:t>
      </w:r>
    </w:p>
    <w:p>
      <w:pPr>
        <w:spacing w:after="0" w:line="360" w:lineRule="auto"/>
        <w:jc w:val="both"/>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2.1. Обща цел</w:t>
      </w:r>
      <w:r>
        <w:rPr>
          <w:rFonts w:hint="default" w:ascii="Times New Roman" w:hAnsi="Times New Roman" w:cs="Times New Roman"/>
          <w:b/>
          <w:bCs/>
          <w:sz w:val="24"/>
          <w:szCs w:val="24"/>
          <w:lang w:val="bg-BG"/>
        </w:rPr>
        <w:t xml:space="preserve">: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Подпомагане на обучението по български език и литература, история и цивилизация и география и икономика в частта им, отнасяща се до историята и географията на България, организирано в чужбина за деца от предучилищна възраст и за ученици от I до XII клас.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Запазване и съхраняване на връзките на българските общности от историческите, традиционните и новите диаспори за укрепване на българската духовност и съхраняване на националното самосъзнание, бит и култура. Създаване на условия за продължаване образованието и обучението при завръщане в България.</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Националната програма е разработена в съответствие с Приоритетна област 9 „Ефикасно управление и участие в мрежи“ на Стратегическата рамка за развитие на образованието, обучението и ученето в Република България (2021 – 2030).</w:t>
      </w:r>
    </w:p>
    <w:p>
      <w:pPr>
        <w:spacing w:after="0" w:line="360" w:lineRule="auto"/>
        <w:ind w:firstLine="720"/>
        <w:jc w:val="both"/>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2.2. Специфични цели</w:t>
      </w:r>
      <w:r>
        <w:rPr>
          <w:rFonts w:hint="default" w:ascii="Times New Roman" w:hAnsi="Times New Roman" w:cs="Times New Roman"/>
          <w:b/>
          <w:bCs/>
          <w:sz w:val="24"/>
          <w:szCs w:val="24"/>
          <w:lang w:val="bg-BG"/>
        </w:rPr>
        <w:t>:</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Подобряване на условията за осъществяване на ефективни образователно-възпитателни дейности, съдействащи за укрепване на българската духовност, за съхраняване на националното самосъзнание, бит и култура.</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Създаване на условия за популяризиране на българския език и културно-историческото наследство по света, за запазване и съхраняване на връзките на българските общности от историческите, традиционните и новите диаспори с България и за развиване на сътрудничество с българските неделни училища в чужбина.</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Подкрепа за успешно продължаване образованието и обучението в училища при завръщане в България.</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Подпомагане кадровото осигуряване на неделните училища с педагогически специалисти, умеещи да организират учебния процес съобразно спецификата на работа в чуждоезикова среда и потребностите на децата и учениците и популяризиране на успешни модели и практики.</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Дейностите се реализират в чужбина и на територията на България с участие на ученици и учители от българските неделни училища в чужбина. </w:t>
      </w:r>
    </w:p>
    <w:p>
      <w:pPr>
        <w:rPr>
          <w:rFonts w:ascii="Times New Roman" w:hAnsi="Times New Roman" w:cs="Times New Roman"/>
          <w:i/>
          <w:iCs/>
          <w:color w:val="2E75B6" w:themeColor="accent5" w:themeShade="BF"/>
          <w:sz w:val="24"/>
          <w:szCs w:val="24"/>
          <w:lang w:val="bg-BG"/>
        </w:rPr>
      </w:pPr>
    </w:p>
    <w:p>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3. ПОКАЗАТЕЛИ ЗА ПОСТИГАНЕ НА ЦЕЛИТЕ</w:t>
      </w:r>
    </w:p>
    <w:p>
      <w:pPr>
        <w:tabs>
          <w:tab w:val="left" w:pos="0"/>
        </w:tabs>
        <w:spacing w:after="0" w:line="360" w:lineRule="auto"/>
        <w:ind w:right="-20" w:firstLine="720"/>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 xml:space="preserve">- </w:t>
      </w:r>
      <w:r>
        <w:rPr>
          <w:rFonts w:ascii="Times New Roman" w:hAnsi="Times New Roman" w:eastAsia="Calibri" w:cs="Times New Roman"/>
          <w:sz w:val="24"/>
          <w:szCs w:val="24"/>
          <w:lang w:eastAsia="bg-BG"/>
        </w:rPr>
        <w:t xml:space="preserve">100 </w:t>
      </w:r>
      <w:r>
        <w:rPr>
          <w:rFonts w:ascii="Times New Roman" w:hAnsi="Times New Roman" w:eastAsia="Calibri" w:cs="Times New Roman"/>
          <w:sz w:val="24"/>
          <w:szCs w:val="24"/>
          <w:lang w:val="bg-BG" w:eastAsia="bg-BG"/>
        </w:rPr>
        <w:t>български неделни училища в чужбина, подпомогнати организационно, методически и финансово от Министерството на образованието и науката (МОН);</w:t>
      </w:r>
    </w:p>
    <w:p>
      <w:pPr>
        <w:tabs>
          <w:tab w:val="left" w:pos="284"/>
          <w:tab w:val="left" w:pos="720"/>
          <w:tab w:val="left" w:pos="1134"/>
        </w:tabs>
        <w:spacing w:after="0" w:line="360" w:lineRule="auto"/>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ab/>
      </w:r>
      <w:r>
        <w:rPr>
          <w:rFonts w:ascii="Times New Roman" w:hAnsi="Times New Roman" w:eastAsia="Calibri" w:cs="Times New Roman"/>
          <w:sz w:val="24"/>
          <w:szCs w:val="24"/>
          <w:lang w:val="bg-BG" w:eastAsia="bg-BG"/>
        </w:rPr>
        <w:tab/>
      </w:r>
      <w:r>
        <w:rPr>
          <w:rFonts w:ascii="Times New Roman" w:hAnsi="Times New Roman" w:eastAsia="Calibri" w:cs="Times New Roman"/>
          <w:sz w:val="24"/>
          <w:szCs w:val="24"/>
          <w:lang w:val="bg-BG" w:eastAsia="bg-BG"/>
        </w:rPr>
        <w:t>- 10 000 деца, ученици и кандидат-студенти, участвали в обучението по български език и литература, по история и цивилизации и по география и икономика;</w:t>
      </w:r>
    </w:p>
    <w:p>
      <w:pPr>
        <w:tabs>
          <w:tab w:val="left" w:pos="284"/>
          <w:tab w:val="left" w:pos="720"/>
          <w:tab w:val="left" w:pos="1134"/>
        </w:tabs>
        <w:spacing w:after="0" w:line="360" w:lineRule="auto"/>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ab/>
      </w:r>
      <w:r>
        <w:rPr>
          <w:rFonts w:ascii="Times New Roman" w:hAnsi="Times New Roman" w:eastAsia="Calibri" w:cs="Times New Roman"/>
          <w:sz w:val="24"/>
          <w:szCs w:val="24"/>
          <w:lang w:val="bg-BG" w:eastAsia="bg-BG"/>
        </w:rPr>
        <w:tab/>
      </w:r>
      <w:r>
        <w:rPr>
          <w:rFonts w:ascii="Times New Roman" w:hAnsi="Times New Roman" w:eastAsia="Calibri" w:cs="Times New Roman"/>
          <w:sz w:val="24"/>
          <w:szCs w:val="24"/>
          <w:lang w:val="bg-BG" w:eastAsia="bg-BG"/>
        </w:rPr>
        <w:t>- 7 000 деца и ученици, участвали в допълнителни училищни дейности, свързани със съхраняване на националното самосъзнание, култура и традиции;</w:t>
      </w:r>
    </w:p>
    <w:p>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повишена професионална компетентност на 100 учители от БНУ в чужбина за преподаване на български език в чуждоезикова среда;</w:t>
      </w:r>
    </w:p>
    <w:p>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проведени 10 събития – форуми, конференции, майсторски класове – в подкрепа на обучението в БНУ в чужбина и обединяващи българските общности зад граница.</w:t>
      </w:r>
    </w:p>
    <w:p>
      <w:pPr>
        <w:spacing w:after="0" w:line="360" w:lineRule="auto"/>
        <w:jc w:val="both"/>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 xml:space="preserve">4. ЦЕЛЕВА ГРУПА </w:t>
      </w:r>
    </w:p>
    <w:p>
      <w:pPr>
        <w:pStyle w:val="12"/>
        <w:numPr>
          <w:ilvl w:val="0"/>
          <w:numId w:val="1"/>
        </w:numPr>
        <w:spacing w:after="0" w:line="360" w:lineRule="auto"/>
        <w:jc w:val="both"/>
        <w:rPr>
          <w:rFonts w:ascii="Times New Roman" w:hAnsi="Times New Roman" w:cs="Times New Roman"/>
          <w:sz w:val="24"/>
          <w:szCs w:val="24"/>
          <w:lang w:val="bg-BG"/>
        </w:rPr>
      </w:pPr>
      <w:bookmarkStart w:id="2" w:name="_Hlk156850762"/>
      <w:r>
        <w:rPr>
          <w:rFonts w:ascii="Times New Roman" w:hAnsi="Times New Roman" w:cs="Times New Roman"/>
          <w:sz w:val="24"/>
          <w:szCs w:val="24"/>
          <w:lang w:val="bg-BG"/>
        </w:rPr>
        <w:t>по Модул 1 – деца, ученици и кандидат-студенти, живеещи в чужбина, които са обхванати в обучение по български език, по история и география на България и в допълнителни училищни дейности;</w:t>
      </w:r>
    </w:p>
    <w:p>
      <w:pPr>
        <w:pStyle w:val="12"/>
        <w:numPr>
          <w:ilvl w:val="0"/>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 Модул 2 – учители по български език и литература в българските неделни училища в чужбина, финансово подпомагани от МОН; </w:t>
      </w:r>
    </w:p>
    <w:p>
      <w:pPr>
        <w:pStyle w:val="12"/>
        <w:numPr>
          <w:ilvl w:val="0"/>
          <w:numId w:val="1"/>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3 – учители и ученици от БНУ в чужбина.</w:t>
      </w:r>
    </w:p>
    <w:p>
      <w:pPr>
        <w:pStyle w:val="12"/>
        <w:spacing w:after="0" w:line="360" w:lineRule="auto"/>
        <w:ind w:left="644"/>
        <w:jc w:val="both"/>
        <w:rPr>
          <w:rFonts w:ascii="Times New Roman" w:hAnsi="Times New Roman" w:cs="Times New Roman"/>
          <w:sz w:val="24"/>
          <w:szCs w:val="24"/>
          <w:lang w:val="bg-BG"/>
        </w:rPr>
      </w:pPr>
    </w:p>
    <w:bookmarkEnd w:id="2"/>
    <w:p>
      <w:pPr>
        <w:spacing w:after="0" w:line="360" w:lineRule="auto"/>
        <w:rPr>
          <w:rFonts w:ascii="Times New Roman" w:hAnsi="Times New Roman" w:cs="Times New Roman"/>
          <w:b/>
          <w:bCs/>
          <w:i/>
          <w:iCs/>
          <w:color w:val="2E75B6" w:themeColor="accent5" w:themeShade="BF"/>
          <w:sz w:val="24"/>
          <w:szCs w:val="24"/>
          <w:lang w:val="bg-BG"/>
        </w:rPr>
      </w:pPr>
      <w:r>
        <w:rPr>
          <w:rFonts w:ascii="Times New Roman" w:hAnsi="Times New Roman" w:cs="Times New Roman"/>
          <w:b/>
          <w:bCs/>
          <w:sz w:val="24"/>
          <w:szCs w:val="24"/>
          <w:lang w:val="bg-BG"/>
        </w:rPr>
        <w:t>5. ОЧАКВАНИ РЕЗУЛТАТИ</w:t>
      </w:r>
    </w:p>
    <w:p>
      <w:pPr>
        <w:pStyle w:val="12"/>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1 – осигурени условия, които са споделена отговорност с местната общност, за провеждане на ефективно обучение по български език и литература, по история и география на България, подготовка на кандидат-студенти;</w:t>
      </w:r>
    </w:p>
    <w:p>
      <w:pPr>
        <w:pStyle w:val="12"/>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2 – кадрово обезпечаване на БНУ в чужбина;</w:t>
      </w:r>
    </w:p>
    <w:p>
      <w:pPr>
        <w:pStyle w:val="12"/>
        <w:numPr>
          <w:ilvl w:val="0"/>
          <w:numId w:val="2"/>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по Модул 3 – създадени условия за обмен на добри практики, популяризиране на опита на учителите от БНУ в чужбина, създадени образователни ресурси, съобразени със спецификата на обучение по български език в различните страни. </w:t>
      </w:r>
    </w:p>
    <w:p>
      <w:pPr>
        <w:pStyle w:val="12"/>
        <w:ind w:left="360"/>
        <w:rPr>
          <w:rFonts w:ascii="Times New Roman" w:hAnsi="Times New Roman" w:cs="Times New Roman"/>
          <w:color w:val="2E75B6" w:themeColor="accent5" w:themeShade="BF"/>
          <w:sz w:val="24"/>
          <w:szCs w:val="24"/>
          <w:lang w:val="bg-BG"/>
        </w:rPr>
      </w:pPr>
    </w:p>
    <w:p>
      <w:pPr>
        <w:jc w:val="both"/>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 xml:space="preserve">6. БЮДЖЕТ </w:t>
      </w:r>
    </w:p>
    <w:p>
      <w:pPr>
        <w:tabs>
          <w:tab w:val="left" w:pos="0"/>
          <w:tab w:val="left" w:pos="426"/>
          <w:tab w:val="left" w:pos="567"/>
        </w:tabs>
        <w:spacing w:after="0" w:line="360" w:lineRule="auto"/>
        <w:ind w:firstLine="709"/>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sz w:val="24"/>
          <w:szCs w:val="24"/>
          <w:lang w:val="bg-BG" w:eastAsia="bg-BG"/>
        </w:rPr>
        <w:t xml:space="preserve">Общ бюджет на програмата: </w:t>
      </w:r>
      <w:r>
        <w:rPr>
          <w:rFonts w:ascii="Times New Roman" w:hAnsi="Times New Roman" w:eastAsia="Times New Roman" w:cs="Times New Roman"/>
          <w:b/>
          <w:sz w:val="24"/>
          <w:szCs w:val="24"/>
          <w:lang w:val="bg-BG" w:eastAsia="bg-BG"/>
        </w:rPr>
        <w:t>2 108 000 лв.</w:t>
      </w:r>
    </w:p>
    <w:p>
      <w:pPr>
        <w:tabs>
          <w:tab w:val="left" w:pos="0"/>
          <w:tab w:val="left" w:pos="426"/>
          <w:tab w:val="left" w:pos="567"/>
        </w:tabs>
        <w:spacing w:after="0" w:line="360" w:lineRule="auto"/>
        <w:ind w:firstLine="709"/>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Разпределение на общия бюджет по модули:</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6"/>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top w:val="double" w:color="auto" w:sz="4" w:space="0"/>
              <w:left w:val="double" w:color="auto" w:sz="4" w:space="0"/>
              <w:bottom w:val="double" w:color="auto" w:sz="4" w:space="0"/>
            </w:tcBorders>
            <w:shd w:val="clear" w:color="auto" w:fill="auto"/>
          </w:tcPr>
          <w:p>
            <w:pPr>
              <w:tabs>
                <w:tab w:val="left" w:pos="0"/>
                <w:tab w:val="left" w:pos="426"/>
                <w:tab w:val="left" w:pos="567"/>
              </w:tabs>
              <w:spacing w:after="0" w:line="360" w:lineRule="auto"/>
              <w:jc w:val="center"/>
              <w:rPr>
                <w:rFonts w:ascii="Times New Roman" w:hAnsi="Times New Roman" w:eastAsia="Times New Roman" w:cs="Times New Roman"/>
                <w:b/>
                <w:bCs/>
                <w:iCs/>
                <w:sz w:val="24"/>
                <w:szCs w:val="24"/>
                <w:lang w:val="bg-BG" w:eastAsia="bg-BG"/>
              </w:rPr>
            </w:pPr>
            <w:r>
              <w:rPr>
                <w:rFonts w:ascii="Times New Roman" w:hAnsi="Times New Roman" w:eastAsia="Times New Roman" w:cs="Times New Roman"/>
                <w:b/>
                <w:bCs/>
                <w:iCs/>
                <w:sz w:val="24"/>
                <w:szCs w:val="24"/>
                <w:lang w:val="bg-BG" w:eastAsia="bg-BG"/>
              </w:rPr>
              <w:t>Модули</w:t>
            </w:r>
          </w:p>
        </w:tc>
        <w:tc>
          <w:tcPr>
            <w:tcW w:w="1684" w:type="dxa"/>
            <w:tcBorders>
              <w:top w:val="double" w:color="auto" w:sz="4" w:space="0"/>
              <w:bottom w:val="double" w:color="auto" w:sz="4" w:space="0"/>
              <w:right w:val="double" w:color="auto" w:sz="4" w:space="0"/>
            </w:tcBorders>
            <w:shd w:val="clear" w:color="auto" w:fill="auto"/>
          </w:tcPr>
          <w:p>
            <w:pPr>
              <w:tabs>
                <w:tab w:val="left" w:pos="0"/>
                <w:tab w:val="left" w:pos="426"/>
                <w:tab w:val="left" w:pos="567"/>
              </w:tabs>
              <w:spacing w:after="0" w:line="360" w:lineRule="auto"/>
              <w:jc w:val="center"/>
              <w:rPr>
                <w:rFonts w:ascii="Times New Roman" w:hAnsi="Times New Roman" w:eastAsia="Times New Roman" w:cs="Times New Roman"/>
                <w:b/>
                <w:bCs/>
                <w:iCs/>
                <w:sz w:val="24"/>
                <w:szCs w:val="24"/>
                <w:lang w:val="bg-BG" w:eastAsia="bg-BG"/>
              </w:rPr>
            </w:pPr>
            <w:r>
              <w:rPr>
                <w:rFonts w:ascii="Times New Roman" w:hAnsi="Times New Roman" w:eastAsia="Times New Roman" w:cs="Times New Roman"/>
                <w:b/>
                <w:bCs/>
                <w:iCs/>
                <w:sz w:val="24"/>
                <w:szCs w:val="24"/>
                <w:lang w:val="bg-BG" w:eastAsia="bg-BG"/>
              </w:rPr>
              <w:t>лв.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top w:val="double" w:color="auto" w:sz="4" w:space="0"/>
              <w:left w:val="double" w:color="auto" w:sz="4" w:space="0"/>
              <w:bottom w:val="dotted" w:color="auto" w:sz="4" w:space="0"/>
            </w:tcBorders>
            <w:shd w:val="clear" w:color="auto" w:fill="auto"/>
            <w:vAlign w:val="center"/>
          </w:tcPr>
          <w:p>
            <w:pPr>
              <w:tabs>
                <w:tab w:val="left" w:pos="0"/>
                <w:tab w:val="left" w:pos="426"/>
                <w:tab w:val="left" w:pos="567"/>
              </w:tabs>
              <w:spacing w:after="0" w:line="360" w:lineRule="auto"/>
              <w:rPr>
                <w:rFonts w:ascii="Times New Roman" w:hAnsi="Times New Roman" w:eastAsia="Times New Roman" w:cs="Times New Roman"/>
                <w:i/>
                <w:sz w:val="24"/>
                <w:szCs w:val="24"/>
                <w:lang w:val="bg-BG" w:eastAsia="bg-BG"/>
              </w:rPr>
            </w:pPr>
            <w:r>
              <w:rPr>
                <w:rFonts w:ascii="Times New Roman" w:hAnsi="Times New Roman" w:eastAsia="Times New Roman" w:cs="Times New Roman"/>
                <w:b/>
                <w:iCs/>
                <w:sz w:val="24"/>
                <w:szCs w:val="24"/>
                <w:lang w:val="bg-BG" w:eastAsia="bg-BG"/>
              </w:rPr>
              <w:t>Модул 1</w:t>
            </w:r>
            <w:r>
              <w:rPr>
                <w:rFonts w:ascii="Times New Roman" w:hAnsi="Times New Roman" w:eastAsia="Times New Roman" w:cs="Times New Roman"/>
                <w:bCs/>
                <w:iCs/>
                <w:sz w:val="24"/>
                <w:szCs w:val="24"/>
                <w:lang w:val="bg-BG" w:eastAsia="bg-BG"/>
              </w:rPr>
              <w:t xml:space="preserve"> „Подпомагане на обучението по български език и литература, по история на България и по география на България“</w:t>
            </w:r>
          </w:p>
        </w:tc>
        <w:tc>
          <w:tcPr>
            <w:tcW w:w="1684" w:type="dxa"/>
            <w:tcBorders>
              <w:top w:val="double" w:color="auto" w:sz="4" w:space="0"/>
              <w:right w:val="double" w:color="auto" w:sz="4" w:space="0"/>
            </w:tcBorders>
            <w:shd w:val="clear" w:color="auto" w:fill="auto"/>
            <w:vAlign w:val="center"/>
          </w:tcPr>
          <w:p>
            <w:pPr>
              <w:tabs>
                <w:tab w:val="left" w:pos="0"/>
                <w:tab w:val="left" w:pos="426"/>
                <w:tab w:val="left" w:pos="567"/>
              </w:tabs>
              <w:spacing w:after="0" w:line="360" w:lineRule="auto"/>
              <w:jc w:val="center"/>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1 700 000 лв.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left w:val="double" w:color="auto" w:sz="4" w:space="0"/>
              <w:bottom w:val="dotted" w:color="auto" w:sz="4" w:space="0"/>
            </w:tcBorders>
            <w:shd w:val="clear" w:color="auto" w:fill="auto"/>
            <w:vAlign w:val="center"/>
          </w:tcPr>
          <w:p>
            <w:pPr>
              <w:tabs>
                <w:tab w:val="left" w:pos="0"/>
                <w:tab w:val="left" w:pos="426"/>
                <w:tab w:val="left" w:pos="567"/>
              </w:tabs>
              <w:spacing w:after="0" w:line="360" w:lineRule="auto"/>
              <w:rPr>
                <w:rFonts w:ascii="Times New Roman" w:hAnsi="Times New Roman" w:eastAsia="Times New Roman" w:cs="Times New Roman"/>
                <w:i/>
                <w:sz w:val="24"/>
                <w:szCs w:val="24"/>
                <w:lang w:val="bg-BG" w:eastAsia="bg-BG"/>
              </w:rPr>
            </w:pPr>
            <w:r>
              <w:rPr>
                <w:rFonts w:ascii="Times New Roman" w:hAnsi="Times New Roman" w:eastAsia="Times New Roman" w:cs="Times New Roman"/>
                <w:b/>
                <w:bCs/>
                <w:sz w:val="24"/>
                <w:szCs w:val="24"/>
                <w:lang w:val="bg-BG" w:eastAsia="bg-BG"/>
              </w:rPr>
              <w:t>Модул 2</w:t>
            </w:r>
            <w:r>
              <w:rPr>
                <w:rFonts w:ascii="Times New Roman" w:hAnsi="Times New Roman" w:eastAsia="Times New Roman" w:cs="Times New Roman"/>
                <w:sz w:val="24"/>
                <w:szCs w:val="24"/>
                <w:lang w:val="bg-BG" w:eastAsia="bg-BG"/>
              </w:rPr>
              <w:t xml:space="preserve"> </w:t>
            </w:r>
            <w:r>
              <w:rPr>
                <w:rFonts w:ascii="Times New Roman" w:hAnsi="Times New Roman" w:cs="Times New Roman"/>
                <w:sz w:val="24"/>
                <w:szCs w:val="24"/>
                <w:lang w:val="bg-BG"/>
              </w:rPr>
              <w:t>„Квалификация на учители в българските неделни училища в чужбина“</w:t>
            </w:r>
          </w:p>
        </w:tc>
        <w:tc>
          <w:tcPr>
            <w:tcW w:w="1684" w:type="dxa"/>
            <w:tcBorders>
              <w:right w:val="double" w:color="auto" w:sz="4" w:space="0"/>
            </w:tcBorders>
            <w:shd w:val="clear" w:color="auto" w:fill="auto"/>
            <w:vAlign w:val="center"/>
          </w:tcPr>
          <w:p>
            <w:pPr>
              <w:tabs>
                <w:tab w:val="left" w:pos="0"/>
                <w:tab w:val="left" w:pos="426"/>
                <w:tab w:val="left" w:pos="567"/>
              </w:tabs>
              <w:spacing w:after="0" w:line="360" w:lineRule="auto"/>
              <w:jc w:val="center"/>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230 000 лв.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left w:val="double" w:color="auto" w:sz="4" w:space="0"/>
              <w:bottom w:val="dotted" w:color="auto" w:sz="4" w:space="0"/>
            </w:tcBorders>
            <w:shd w:val="clear" w:color="auto" w:fill="auto"/>
            <w:vAlign w:val="center"/>
          </w:tcPr>
          <w:p>
            <w:pPr>
              <w:tabs>
                <w:tab w:val="left" w:pos="0"/>
                <w:tab w:val="left" w:pos="426"/>
                <w:tab w:val="left" w:pos="567"/>
                <w:tab w:val="left" w:pos="1080"/>
              </w:tabs>
              <w:spacing w:after="0" w:line="360" w:lineRule="auto"/>
              <w:rPr>
                <w:rFonts w:ascii="Times New Roman" w:hAnsi="Times New Roman" w:eastAsia="Times New Roman" w:cs="Times New Roman"/>
                <w:sz w:val="24"/>
                <w:szCs w:val="24"/>
                <w:lang w:val="bg-BG" w:eastAsia="bg-BG"/>
              </w:rPr>
            </w:pPr>
            <w:r>
              <w:rPr>
                <w:rFonts w:ascii="Times New Roman" w:hAnsi="Times New Roman" w:eastAsia="Times New Roman" w:cs="Times New Roman"/>
                <w:b/>
                <w:bCs/>
                <w:sz w:val="24"/>
                <w:szCs w:val="24"/>
                <w:lang w:val="bg-BG" w:eastAsia="bg-BG"/>
              </w:rPr>
              <w:t>Модул 3</w:t>
            </w:r>
            <w:r>
              <w:rPr>
                <w:rFonts w:ascii="Times New Roman" w:hAnsi="Times New Roman" w:eastAsia="Times New Roman" w:cs="Times New Roman"/>
                <w:sz w:val="24"/>
                <w:szCs w:val="24"/>
                <w:lang w:val="bg-BG" w:eastAsia="bg-BG"/>
              </w:rPr>
              <w:t xml:space="preserve"> „Обмен на добри практики и създаване на образователни ресурси за обучението, организирано в чужбина“</w:t>
            </w:r>
          </w:p>
        </w:tc>
        <w:tc>
          <w:tcPr>
            <w:tcW w:w="1684" w:type="dxa"/>
            <w:tcBorders>
              <w:right w:val="double" w:color="auto" w:sz="4" w:space="0"/>
            </w:tcBorders>
            <w:shd w:val="clear" w:color="auto" w:fill="auto"/>
            <w:vAlign w:val="center"/>
          </w:tcPr>
          <w:p>
            <w:pPr>
              <w:tabs>
                <w:tab w:val="left" w:pos="0"/>
                <w:tab w:val="left" w:pos="426"/>
                <w:tab w:val="left" w:pos="567"/>
              </w:tabs>
              <w:spacing w:after="0" w:line="360" w:lineRule="auto"/>
              <w:jc w:val="center"/>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eastAsia="bg-BG"/>
              </w:rPr>
              <w:t>145</w:t>
            </w:r>
            <w:r>
              <w:rPr>
                <w:rFonts w:ascii="Times New Roman" w:hAnsi="Times New Roman" w:eastAsia="Times New Roman" w:cs="Times New Roman"/>
                <w:sz w:val="24"/>
                <w:szCs w:val="24"/>
                <w:lang w:val="bg-BG" w:eastAsia="bg-BG"/>
              </w:rPr>
              <w:t xml:space="preserve"> 000 лв.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left w:val="double" w:color="auto" w:sz="4" w:space="0"/>
            </w:tcBorders>
            <w:shd w:val="clear" w:color="auto" w:fill="auto"/>
            <w:vAlign w:val="center"/>
          </w:tcPr>
          <w:p>
            <w:pPr>
              <w:tabs>
                <w:tab w:val="left" w:pos="0"/>
                <w:tab w:val="left" w:pos="426"/>
                <w:tab w:val="left" w:pos="567"/>
                <w:tab w:val="left" w:pos="1080"/>
              </w:tabs>
              <w:spacing w:after="0" w:line="360" w:lineRule="auto"/>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За мониторинг по програмата и методическа подкрепа</w:t>
            </w:r>
          </w:p>
        </w:tc>
        <w:tc>
          <w:tcPr>
            <w:tcW w:w="1684" w:type="dxa"/>
            <w:tcBorders>
              <w:right w:val="double" w:color="auto" w:sz="4" w:space="0"/>
            </w:tcBorders>
            <w:shd w:val="clear" w:color="auto" w:fill="auto"/>
            <w:vAlign w:val="center"/>
          </w:tcPr>
          <w:p>
            <w:pPr>
              <w:tabs>
                <w:tab w:val="left" w:pos="0"/>
                <w:tab w:val="left" w:pos="426"/>
                <w:tab w:val="left" w:pos="567"/>
              </w:tabs>
              <w:spacing w:after="0" w:line="360" w:lineRule="auto"/>
              <w:jc w:val="center"/>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33 000 лв.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6" w:type="dxa"/>
            <w:tcBorders>
              <w:left w:val="double" w:color="auto" w:sz="4" w:space="0"/>
            </w:tcBorders>
            <w:shd w:val="clear" w:color="auto" w:fill="auto"/>
            <w:vAlign w:val="center"/>
          </w:tcPr>
          <w:p>
            <w:pPr>
              <w:tabs>
                <w:tab w:val="left" w:pos="0"/>
                <w:tab w:val="left" w:pos="426"/>
                <w:tab w:val="left" w:pos="567"/>
              </w:tabs>
              <w:spacing w:after="0" w:line="360" w:lineRule="auto"/>
              <w:jc w:val="right"/>
              <w:rPr>
                <w:rFonts w:ascii="Times New Roman" w:hAnsi="Times New Roman" w:eastAsia="Times New Roman" w:cs="Times New Roman"/>
                <w:b/>
                <w:bCs/>
                <w:sz w:val="24"/>
                <w:szCs w:val="24"/>
                <w:lang w:val="bg-BG" w:eastAsia="bg-BG"/>
              </w:rPr>
            </w:pPr>
            <w:r>
              <w:rPr>
                <w:rFonts w:ascii="Times New Roman" w:hAnsi="Times New Roman" w:eastAsia="Times New Roman" w:cs="Times New Roman"/>
                <w:b/>
                <w:bCs/>
                <w:sz w:val="24"/>
                <w:szCs w:val="24"/>
                <w:lang w:val="bg-BG" w:eastAsia="bg-BG"/>
              </w:rPr>
              <w:t>Общ размер</w:t>
            </w:r>
          </w:p>
        </w:tc>
        <w:tc>
          <w:tcPr>
            <w:tcW w:w="1684" w:type="dxa"/>
            <w:tcBorders>
              <w:right w:val="double" w:color="auto" w:sz="4" w:space="0"/>
            </w:tcBorders>
            <w:shd w:val="clear" w:color="auto" w:fill="auto"/>
            <w:vAlign w:val="center"/>
          </w:tcPr>
          <w:p>
            <w:pPr>
              <w:tabs>
                <w:tab w:val="left" w:pos="0"/>
                <w:tab w:val="left" w:pos="426"/>
                <w:tab w:val="left" w:pos="567"/>
              </w:tabs>
              <w:spacing w:after="0" w:line="360" w:lineRule="auto"/>
              <w:jc w:val="center"/>
              <w:rPr>
                <w:rFonts w:ascii="Times New Roman" w:hAnsi="Times New Roman" w:eastAsia="Times New Roman" w:cs="Times New Roman"/>
                <w:sz w:val="24"/>
                <w:szCs w:val="24"/>
                <w:lang w:val="bg-BG" w:eastAsia="bg-BG"/>
              </w:rPr>
            </w:pPr>
            <w:r>
              <w:rPr>
                <w:rFonts w:ascii="Times New Roman" w:hAnsi="Times New Roman" w:eastAsia="Times New Roman" w:cs="Times New Roman"/>
                <w:b/>
                <w:sz w:val="24"/>
                <w:szCs w:val="24"/>
                <w:lang w:val="bg-BG" w:eastAsia="bg-BG"/>
              </w:rPr>
              <w:t>2 108 000 лв.</w:t>
            </w:r>
          </w:p>
        </w:tc>
      </w:tr>
    </w:tbl>
    <w:p>
      <w:pPr>
        <w:tabs>
          <w:tab w:val="left" w:pos="0"/>
        </w:tabs>
        <w:spacing w:after="0" w:line="360" w:lineRule="auto"/>
        <w:ind w:right="-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p>
    <w:p>
      <w:pPr>
        <w:tabs>
          <w:tab w:val="left" w:pos="0"/>
        </w:tabs>
        <w:spacing w:after="0" w:line="360" w:lineRule="auto"/>
        <w:ind w:right="-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Може да се извършват компенсирани промени на средствата между отделните модули и средствата за мониторинг по програмата и методическа подкрепа, при запазване на целите и обхвата им.</w:t>
      </w:r>
    </w:p>
    <w:p>
      <w:pPr>
        <w:tabs>
          <w:tab w:val="left" w:pos="0"/>
        </w:tabs>
        <w:spacing w:after="0" w:line="360" w:lineRule="auto"/>
        <w:ind w:right="-20"/>
        <w:jc w:val="both"/>
        <w:rPr>
          <w:rFonts w:ascii="Times New Roman" w:hAnsi="Times New Roman" w:eastAsia="Times New Roman" w:cs="Times New Roman"/>
          <w:sz w:val="24"/>
          <w:szCs w:val="24"/>
          <w:lang w:val="bg-BG" w:eastAsia="bg-BG"/>
        </w:rPr>
      </w:pPr>
    </w:p>
    <w:p>
      <w:p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7. ДОПУСТИМИ КАНДИДАТИ</w:t>
      </w:r>
    </w:p>
    <w:p>
      <w:pPr>
        <w:pStyle w:val="12"/>
        <w:spacing w:after="0" w:line="360" w:lineRule="auto"/>
        <w:ind w:left="0"/>
        <w:jc w:val="both"/>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r>
        <w:rPr>
          <w:rFonts w:hint="default" w:ascii="Times New Roman" w:hAnsi="Times New Roman" w:cs="Times New Roman"/>
          <w:b/>
          <w:bCs/>
          <w:sz w:val="24"/>
          <w:szCs w:val="24"/>
          <w:lang w:val="bg-BG"/>
        </w:rPr>
        <w:t xml:space="preserve"> :</w:t>
      </w:r>
    </w:p>
    <w:p>
      <w:pPr>
        <w:tabs>
          <w:tab w:val="left" w:pos="0"/>
          <w:tab w:val="left" w:pos="720"/>
          <w:tab w:val="left" w:pos="993"/>
          <w:tab w:val="left" w:pos="1276"/>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7.1.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w:t>
      </w:r>
    </w:p>
    <w:p>
      <w:pPr>
        <w:tabs>
          <w:tab w:val="left" w:pos="0"/>
          <w:tab w:val="left" w:pos="720"/>
          <w:tab w:val="left" w:pos="993"/>
          <w:tab w:val="left" w:pos="1276"/>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7.2. Задгранични представителства на Република България в чужбина;</w:t>
      </w:r>
    </w:p>
    <w:p>
      <w:pPr>
        <w:tabs>
          <w:tab w:val="left" w:pos="0"/>
          <w:tab w:val="left" w:pos="720"/>
          <w:tab w:val="left" w:pos="993"/>
          <w:tab w:val="left" w:pos="1276"/>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7.3. Български православни църковни общини в чужбина;</w:t>
      </w:r>
    </w:p>
    <w:p>
      <w:pPr>
        <w:tabs>
          <w:tab w:val="left" w:pos="0"/>
          <w:tab w:val="left" w:pos="720"/>
          <w:tab w:val="left" w:pos="993"/>
          <w:tab w:val="left" w:pos="1276"/>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7.4. Българските държавни училища в чужбина – само за дейности по т. 11.1.  </w:t>
      </w:r>
      <w:r>
        <w:rPr>
          <w:rFonts w:ascii="Times New Roman" w:hAnsi="Times New Roman" w:eastAsia="Times New Roman" w:cs="Times New Roman"/>
          <w:sz w:val="24"/>
          <w:szCs w:val="24"/>
          <w:lang w:val="bg-BG" w:eastAsia="bg-BG"/>
        </w:rPr>
        <w:br w:type="textWrapping"/>
      </w:r>
      <w:r>
        <w:rPr>
          <w:rFonts w:ascii="Times New Roman" w:hAnsi="Times New Roman" w:eastAsia="Times New Roman" w:cs="Times New Roman"/>
          <w:sz w:val="24"/>
          <w:szCs w:val="24"/>
          <w:lang w:val="bg-BG" w:eastAsia="bg-BG"/>
        </w:rPr>
        <w:t>и т. 11.3.</w:t>
      </w:r>
    </w:p>
    <w:p>
      <w:pPr>
        <w:tabs>
          <w:tab w:val="left" w:pos="0"/>
          <w:tab w:val="left" w:pos="720"/>
          <w:tab w:val="left" w:pos="993"/>
          <w:tab w:val="left" w:pos="1276"/>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 от бенефициентите по т. 7.1, т. 7.2. и т. 7.3. е българско неделно училище в чужбина.</w:t>
      </w:r>
    </w:p>
    <w:p>
      <w:pPr>
        <w:tabs>
          <w:tab w:val="left" w:pos="0"/>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Бенефициентите може да кандидатстват за една, няколко или за всички допустими дейности.</w:t>
      </w:r>
    </w:p>
    <w:p>
      <w:pPr>
        <w:spacing w:after="0" w:line="360" w:lineRule="auto"/>
        <w:jc w:val="both"/>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Модул 2 „Квалификация на учители в българските неделни училища в чужбина“</w:t>
      </w:r>
      <w:r>
        <w:rPr>
          <w:rFonts w:hint="default" w:ascii="Times New Roman" w:hAnsi="Times New Roman" w:cs="Times New Roman"/>
          <w:b/>
          <w:bCs/>
          <w:sz w:val="24"/>
          <w:szCs w:val="24"/>
          <w:lang w:val="bg-BG"/>
        </w:rPr>
        <w:t xml:space="preserve">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Държавни висши училища (ДВУ) 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и имат сключени споразумения с МОН за  провеждане на обученията.</w:t>
      </w:r>
    </w:p>
    <w:p>
      <w:pPr>
        <w:spacing w:after="0" w:line="360" w:lineRule="auto"/>
        <w:ind w:firstLine="720"/>
        <w:jc w:val="both"/>
        <w:rPr>
          <w:rFonts w:ascii="Times New Roman" w:hAnsi="Times New Roman" w:cs="Times New Roman"/>
          <w:sz w:val="24"/>
          <w:szCs w:val="24"/>
          <w:lang w:val="bg-BG"/>
        </w:rPr>
      </w:pPr>
    </w:p>
    <w:p>
      <w:pPr>
        <w:spacing w:after="0" w:line="360" w:lineRule="auto"/>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Модул 3 „Обмен на добри практики и създаване на образователни ресурси за обучението, организирано в чужбина“</w:t>
      </w:r>
      <w:r>
        <w:rPr>
          <w:rFonts w:hint="default" w:ascii="Times New Roman" w:hAnsi="Times New Roman" w:cs="Times New Roman"/>
          <w:b/>
          <w:bCs/>
          <w:sz w:val="24"/>
          <w:szCs w:val="24"/>
          <w:lang w:val="bg-BG"/>
        </w:rPr>
        <w:t xml:space="preserve"> :</w:t>
      </w:r>
    </w:p>
    <w:p>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Организации/институции, към които функционират БНУ в чужбина, подпомагани от МОН по реда на ПМС № 90/2018 г. за българските неделни училища в чужбина и по НП „Роден език и култура зад граница“.</w:t>
      </w:r>
    </w:p>
    <w:p>
      <w:pPr>
        <w:spacing w:after="0" w:line="360" w:lineRule="auto"/>
        <w:jc w:val="both"/>
        <w:rPr>
          <w:rFonts w:ascii="Times New Roman" w:hAnsi="Times New Roman" w:cs="Times New Roman"/>
          <w:color w:val="2E75B6" w:themeColor="accent5" w:themeShade="BF"/>
          <w:sz w:val="24"/>
          <w:szCs w:val="24"/>
          <w:lang w:val="bg-BG"/>
        </w:rPr>
      </w:pPr>
    </w:p>
    <w:p>
      <w:pPr>
        <w:spacing w:after="0" w:line="360" w:lineRule="auto"/>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8. СРОК НА ИЗПЪЛНЕНИЕ </w:t>
      </w:r>
    </w:p>
    <w:p>
      <w:pPr>
        <w:pStyle w:val="12"/>
        <w:spacing w:after="0" w:line="360" w:lineRule="auto"/>
        <w:ind w:left="420"/>
        <w:rPr>
          <w:rFonts w:ascii="Times New Roman" w:hAnsi="Times New Roman" w:cs="Times New Roman"/>
          <w:sz w:val="24"/>
          <w:szCs w:val="24"/>
          <w:lang w:val="bg-BG"/>
        </w:rPr>
      </w:pPr>
      <w:r>
        <w:rPr>
          <w:rFonts w:ascii="Times New Roman" w:hAnsi="Times New Roman" w:eastAsia="Times New Roman" w:cs="Times New Roman"/>
          <w:sz w:val="24"/>
          <w:szCs w:val="24"/>
          <w:lang w:val="bg-BG" w:eastAsia="bg-BG"/>
        </w:rPr>
        <w:t>по Модул 1 – от 01.07.2024 г. до 30.06.2025 г.</w:t>
      </w:r>
    </w:p>
    <w:p>
      <w:pPr>
        <w:spacing w:after="0" w:line="360" w:lineRule="auto"/>
        <w:ind w:firstLine="420"/>
        <w:jc w:val="both"/>
        <w:rPr>
          <w:rFonts w:ascii="Times New Roman" w:hAnsi="Times New Roman" w:cs="Times New Roman"/>
          <w:sz w:val="24"/>
          <w:szCs w:val="24"/>
          <w:lang w:val="bg-BG"/>
        </w:rPr>
      </w:pPr>
      <w:r>
        <w:rPr>
          <w:rFonts w:ascii="Times New Roman" w:hAnsi="Times New Roman" w:cs="Times New Roman"/>
          <w:sz w:val="24"/>
          <w:szCs w:val="24"/>
          <w:lang w:val="bg-BG"/>
        </w:rPr>
        <w:t>по Модул 2 – от 01.08.2024 г. до 31.07.2025 г.</w:t>
      </w:r>
    </w:p>
    <w:p>
      <w:pPr>
        <w:pStyle w:val="12"/>
        <w:spacing w:after="0" w:line="360" w:lineRule="auto"/>
        <w:ind w:left="420"/>
        <w:rPr>
          <w:rFonts w:ascii="Times New Roman" w:hAnsi="Times New Roman" w:cs="Times New Roman"/>
          <w:sz w:val="24"/>
          <w:szCs w:val="24"/>
          <w:lang w:val="bg-BG"/>
        </w:rPr>
      </w:pPr>
      <w:r>
        <w:rPr>
          <w:rFonts w:ascii="Times New Roman" w:hAnsi="Times New Roman" w:eastAsia="Times New Roman" w:cs="Times New Roman"/>
          <w:sz w:val="24"/>
          <w:szCs w:val="24"/>
          <w:lang w:val="bg-BG" w:eastAsia="bg-BG"/>
        </w:rPr>
        <w:t>по Модул 3 – от 01.07.2024 г. до 30.06.2025 г.</w:t>
      </w:r>
    </w:p>
    <w:p>
      <w:pPr>
        <w:pStyle w:val="12"/>
        <w:spacing w:after="0" w:line="360" w:lineRule="auto"/>
        <w:ind w:left="360"/>
        <w:rPr>
          <w:rFonts w:ascii="Times New Roman" w:hAnsi="Times New Roman" w:cs="Times New Roman"/>
          <w:b/>
          <w:bCs/>
          <w:i/>
          <w:iCs/>
          <w:sz w:val="24"/>
          <w:szCs w:val="24"/>
          <w:lang w:val="bg-BG"/>
        </w:rPr>
      </w:pPr>
    </w:p>
    <w:p>
      <w:pPr>
        <w:tabs>
          <w:tab w:val="left" w:pos="270"/>
        </w:tabs>
        <w:spacing w:after="0" w:line="360" w:lineRule="auto"/>
        <w:jc w:val="both"/>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 xml:space="preserve">9. МЕХАНИЗЪМ ЗА НАБЛЮДЕНИЕ И ОТЧИТАНЕ ИЗПЪЛНЕНИЕТО НА ПРОГРАМАТА </w:t>
      </w:r>
    </w:p>
    <w:p>
      <w:pPr>
        <w:tabs>
          <w:tab w:val="left" w:pos="0"/>
          <w:tab w:val="left" w:pos="567"/>
          <w:tab w:val="left" w:pos="1134"/>
        </w:tabs>
        <w:spacing w:after="0" w:line="360" w:lineRule="auto"/>
        <w:ind w:firstLine="709"/>
        <w:contextualSpacing/>
        <w:jc w:val="both"/>
        <w:rPr>
          <w:rFonts w:ascii="Times New Roman" w:hAnsi="Times New Roman" w:cs="Times New Roman"/>
          <w:sz w:val="24"/>
          <w:szCs w:val="24"/>
          <w:lang w:val="bg-BG"/>
        </w:rPr>
      </w:pPr>
      <w:r>
        <w:rPr>
          <w:rFonts w:ascii="Times New Roman" w:hAnsi="Times New Roman" w:cs="Times New Roman"/>
          <w:sz w:val="24"/>
          <w:szCs w:val="24"/>
          <w:lang w:val="bg-BG"/>
        </w:rPr>
        <w:t>МОН извършва мониторинг, методическа подкрепа и контрол по изпълнението на финансовата, съдържателната и организационната част на дейностите и на изпълнението на сключените споразумения/договори по законосъобразното и целесъобразното разходване на средствата.</w:t>
      </w:r>
    </w:p>
    <w:p>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Задграничните представителства на Република България в чужбина може да извършват мониторинг на дейностите по Модул 1 за:</w:t>
      </w:r>
    </w:p>
    <w:p>
      <w:pPr>
        <w:pStyle w:val="12"/>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установяване на наличието на дейности по проекта; </w:t>
      </w:r>
    </w:p>
    <w:p>
      <w:pPr>
        <w:pStyle w:val="12"/>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състоянието на материалната база, в която се провеждат обучението и допълнителните училищни дейности;</w:t>
      </w:r>
    </w:p>
    <w:p>
      <w:pPr>
        <w:pStyle w:val="12"/>
        <w:numPr>
          <w:ilvl w:val="0"/>
          <w:numId w:val="3"/>
        </w:numPr>
        <w:tabs>
          <w:tab w:val="left" w:pos="142"/>
          <w:tab w:val="left" w:pos="1134"/>
        </w:tabs>
        <w:spacing w:after="0" w:line="360" w:lineRule="auto"/>
        <w:ind w:left="993" w:hanging="284"/>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броя на децата и учениците, които участват в образователния процес и в допълнителните училищни дейности.</w:t>
      </w:r>
    </w:p>
    <w:p>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Задграничните представителства информират МОН за резултатите от извършения мониторинг.</w:t>
      </w:r>
    </w:p>
    <w:p>
      <w:pPr>
        <w:tabs>
          <w:tab w:val="left" w:pos="0"/>
        </w:tabs>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При констатирана липса на дейност, финансирана от МОН, бенефициентът възстановява цялата получена сума или част от нея.</w:t>
      </w:r>
    </w:p>
    <w:p>
      <w:pPr>
        <w:tabs>
          <w:tab w:val="left" w:pos="270"/>
          <w:tab w:val="left" w:pos="360"/>
        </w:tabs>
        <w:spacing w:after="0" w:line="360" w:lineRule="auto"/>
        <w:jc w:val="both"/>
        <w:rPr>
          <w:rFonts w:ascii="Times New Roman" w:hAnsi="Times New Roman" w:cs="Times New Roman"/>
          <w:b/>
          <w:bCs/>
          <w:sz w:val="24"/>
          <w:szCs w:val="24"/>
          <w:highlight w:val="yellow"/>
          <w:lang w:val="bg-BG"/>
        </w:rPr>
      </w:pPr>
    </w:p>
    <w:p>
      <w:pPr>
        <w:tabs>
          <w:tab w:val="left" w:pos="270"/>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10. ДЕМАРКАЦИЯ И ДОПЪЛНЯЕМОСТ С ДРУГИ НАЦИОНАЛНИ ПРОГРАМИ ИЛИ ПРОЕКТИ, ФИНАНСИРАНИ ОТ ЕВРОПЕЙСКИ ИЛИ ДРУГИ МЕЖДУНАРОДНИ ИЗТОЧНИЦИ НА ФИНАНСИРАНЕ</w:t>
      </w:r>
    </w:p>
    <w:p>
      <w:pPr>
        <w:pStyle w:val="12"/>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10.1. 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с представяне на декларация. </w:t>
      </w:r>
    </w:p>
    <w:p>
      <w:pPr>
        <w:pStyle w:val="12"/>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10.2. Декларацията по т. 10.1. е задължителна и следва да съдържа следния текст: „Декларирам, че дейностите, за които кандидатствам по Националната програма „Роден език и култура зад граница“,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pPr>
        <w:spacing w:after="0" w:line="360" w:lineRule="auto"/>
        <w:jc w:val="both"/>
        <w:rPr>
          <w:rFonts w:ascii="Times New Roman" w:hAnsi="Times New Roman" w:cs="Times New Roman"/>
          <w:b/>
          <w:bCs/>
          <w:sz w:val="24"/>
          <w:szCs w:val="24"/>
          <w:highlight w:val="yellow"/>
          <w:lang w:val="bg-BG"/>
        </w:rPr>
      </w:pPr>
    </w:p>
    <w:p>
      <w:pPr>
        <w:spacing w:after="0" w:line="360" w:lineRule="auto"/>
        <w:jc w:val="both"/>
        <w:rPr>
          <w:rFonts w:ascii="Times New Roman" w:hAnsi="Times New Roman" w:cs="Times New Roman"/>
          <w:b/>
          <w:bCs/>
          <w:sz w:val="24"/>
          <w:szCs w:val="24"/>
          <w:highlight w:val="yellow"/>
          <w:lang w:val="bg-BG"/>
        </w:rPr>
      </w:pPr>
    </w:p>
    <w:p>
      <w:pPr>
        <w:spacing w:after="0" w:line="360" w:lineRule="auto"/>
        <w:jc w:val="both"/>
        <w:rPr>
          <w:rFonts w:ascii="Times New Roman" w:hAnsi="Times New Roman" w:cs="Times New Roman"/>
          <w:b/>
          <w:bCs/>
          <w:sz w:val="24"/>
          <w:szCs w:val="24"/>
          <w:highlight w:val="yellow"/>
          <w:lang w:val="bg-BG"/>
        </w:rPr>
      </w:pPr>
    </w:p>
    <w:p>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11.</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 xml:space="preserve">ДОПУСТИМИ ДЕЙНОСТИ  И СРОК НА ИЗПЪЛНЕНИЕ </w:t>
      </w:r>
    </w:p>
    <w:p>
      <w:pPr>
        <w:spacing w:before="240" w:after="0" w:line="360" w:lineRule="auto"/>
        <w:rPr>
          <w:rFonts w:hint="default" w:ascii="Times New Roman" w:hAnsi="Times New Roman" w:cs="Times New Roman"/>
          <w:b/>
          <w:bCs/>
          <w:sz w:val="24"/>
          <w:szCs w:val="24"/>
          <w:lang w:val="bg-BG"/>
        </w:rPr>
      </w:pPr>
      <w:bookmarkStart w:id="3" w:name="_Hlk156911047"/>
      <w:bookmarkStart w:id="4" w:name="_Hlk156921175"/>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r>
        <w:rPr>
          <w:rFonts w:hint="default" w:ascii="Times New Roman" w:hAnsi="Times New Roman" w:cs="Times New Roman"/>
          <w:b/>
          <w:bCs/>
          <w:sz w:val="24"/>
          <w:szCs w:val="24"/>
          <w:lang w:val="bg-BG"/>
        </w:rPr>
        <w:t xml:space="preserve"> :</w:t>
      </w:r>
    </w:p>
    <w:bookmarkEnd w:id="3"/>
    <w:bookmarkEnd w:id="4"/>
    <w:p>
      <w:pPr>
        <w:pStyle w:val="12"/>
        <w:spacing w:after="0" w:line="360" w:lineRule="auto"/>
        <w:ind w:left="0" w:firstLine="720"/>
        <w:jc w:val="both"/>
        <w:rPr>
          <w:rFonts w:ascii="Times New Roman" w:hAnsi="Times New Roman" w:cs="Times New Roman"/>
          <w:b/>
          <w:bCs/>
          <w:sz w:val="24"/>
          <w:szCs w:val="24"/>
          <w:lang w:val="bg-BG"/>
        </w:rPr>
      </w:pPr>
    </w:p>
    <w:p>
      <w:pPr>
        <w:tabs>
          <w:tab w:val="left" w:pos="0"/>
          <w:tab w:val="left" w:pos="1260"/>
        </w:tabs>
        <w:spacing w:after="0" w:line="360" w:lineRule="auto"/>
        <w:ind w:right="-20" w:firstLine="720"/>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11.1.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11.1.1. Осигуряване на учебници и учебни помагала (по български език и литература, история и цивилизации, география и икономика), книги от български автори, подпомагащи обучението, в т.ч. и за предучилищното, дидактически материали, в т.ч. аудио-визуални продукти и художествена литература (съгласно учебните програми по български език и литература).</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11.1.2. Транспортиране на учебници и учебни помагала, закупени от България.</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11.1.3. Наем на помещения, необходими за провеждане на обучението.</w:t>
      </w:r>
    </w:p>
    <w:p>
      <w:pPr>
        <w:tabs>
          <w:tab w:val="left" w:pos="0"/>
          <w:tab w:val="left" w:pos="1276"/>
        </w:tabs>
        <w:spacing w:after="0" w:line="360" w:lineRule="auto"/>
        <w:ind w:firstLine="720"/>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11.2. Подобряване качеството на обучението:</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11.2.1. Провеждане на обучението по български език и литература и по история и цивилизации и география и икономика в частта им, отнасяща се до историята на България и географията на България, съгласно учебни програми за обучението, организирано в чужбина, както следва:</w:t>
      </w:r>
    </w:p>
    <w:p>
      <w:pPr>
        <w:tabs>
          <w:tab w:val="left" w:pos="0"/>
          <w:tab w:val="left" w:pos="1134"/>
        </w:tabs>
        <w:spacing w:after="0" w:line="360" w:lineRule="auto"/>
        <w:ind w:firstLine="720"/>
        <w:jc w:val="both"/>
        <w:rPr>
          <w:rFonts w:ascii="Times New Roman" w:hAnsi="Times New Roman" w:eastAsia="Times New Roman" w:cs="Times New Roman"/>
          <w:i/>
          <w:sz w:val="24"/>
          <w:szCs w:val="24"/>
          <w:u w:val="single"/>
          <w:lang w:val="bg-BG" w:eastAsia="bg-BG"/>
        </w:rPr>
      </w:pPr>
      <w:r>
        <w:rPr>
          <w:rFonts w:ascii="Times New Roman" w:hAnsi="Times New Roman" w:eastAsia="Times New Roman" w:cs="Times New Roman"/>
          <w:i/>
          <w:sz w:val="24"/>
          <w:szCs w:val="24"/>
          <w:u w:val="single"/>
          <w:lang w:val="bg-BG" w:eastAsia="bg-BG"/>
        </w:rPr>
        <w:t>Български език и литература</w:t>
      </w:r>
    </w:p>
    <w:p>
      <w:pPr>
        <w:numPr>
          <w:ilvl w:val="0"/>
          <w:numId w:val="4"/>
        </w:numPr>
        <w:tabs>
          <w:tab w:val="left" w:pos="0"/>
          <w:tab w:val="left" w:pos="1134"/>
          <w:tab w:val="left" w:pos="1620"/>
          <w:tab w:val="left" w:pos="2070"/>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 I,  II, III и IV клас – от 108 до 120 часа годишно за всеки клас;</w:t>
      </w:r>
    </w:p>
    <w:p>
      <w:pPr>
        <w:numPr>
          <w:ilvl w:val="0"/>
          <w:numId w:val="4"/>
        </w:numPr>
        <w:tabs>
          <w:tab w:val="left" w:pos="0"/>
          <w:tab w:val="left" w:pos="1134"/>
          <w:tab w:val="left" w:pos="1620"/>
          <w:tab w:val="left" w:pos="2070"/>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 VI и VII клас – от 102 до 120 часа годишно за всеки клас;</w:t>
      </w:r>
    </w:p>
    <w:p>
      <w:pPr>
        <w:numPr>
          <w:ilvl w:val="0"/>
          <w:numId w:val="4"/>
        </w:numPr>
        <w:tabs>
          <w:tab w:val="left" w:pos="0"/>
          <w:tab w:val="left" w:pos="1134"/>
          <w:tab w:val="left" w:pos="1620"/>
          <w:tab w:val="left" w:pos="2070"/>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VIII, ІХ, Х, ХІ и ХІІ клас – от 72 до 90 учебни часа годишно за всеки клас.</w:t>
      </w:r>
    </w:p>
    <w:p>
      <w:pPr>
        <w:tabs>
          <w:tab w:val="left" w:pos="0"/>
        </w:tabs>
        <w:spacing w:after="0" w:line="360" w:lineRule="auto"/>
        <w:ind w:firstLine="720"/>
        <w:jc w:val="both"/>
        <w:rPr>
          <w:rFonts w:ascii="Times New Roman" w:hAnsi="Times New Roman" w:eastAsia="Times New Roman" w:cs="Times New Roman"/>
          <w:i/>
          <w:sz w:val="24"/>
          <w:szCs w:val="24"/>
          <w:u w:val="single"/>
          <w:lang w:val="bg-BG" w:eastAsia="bg-BG"/>
        </w:rPr>
      </w:pPr>
      <w:r>
        <w:rPr>
          <w:rFonts w:ascii="Times New Roman" w:hAnsi="Times New Roman" w:eastAsia="Times New Roman" w:cs="Times New Roman"/>
          <w:i/>
          <w:sz w:val="24"/>
          <w:szCs w:val="24"/>
          <w:u w:val="single"/>
          <w:lang w:val="bg-BG" w:eastAsia="bg-BG"/>
        </w:rPr>
        <w:t>История и цивилизации</w:t>
      </w:r>
    </w:p>
    <w:p>
      <w:pPr>
        <w:numPr>
          <w:ilvl w:val="0"/>
          <w:numId w:val="4"/>
        </w:numPr>
        <w:tabs>
          <w:tab w:val="left" w:pos="0"/>
          <w:tab w:val="left" w:pos="993"/>
        </w:tabs>
        <w:spacing w:after="0" w:line="360" w:lineRule="auto"/>
        <w:ind w:left="1276" w:hanging="567"/>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 VІ и VІІ клас – общо 102 учебни часа за трите класа;</w:t>
      </w:r>
    </w:p>
    <w:p>
      <w:pPr>
        <w:numPr>
          <w:ilvl w:val="0"/>
          <w:numId w:val="4"/>
        </w:numPr>
        <w:tabs>
          <w:tab w:val="left" w:pos="0"/>
          <w:tab w:val="left" w:pos="993"/>
        </w:tabs>
        <w:spacing w:after="0" w:line="360" w:lineRule="auto"/>
        <w:ind w:left="1276" w:hanging="567"/>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VІІІ, ІХ, Х, ХІ и ХІІ клас – общо 102 за петте класа.</w:t>
      </w:r>
    </w:p>
    <w:p>
      <w:pPr>
        <w:tabs>
          <w:tab w:val="left" w:pos="0"/>
        </w:tabs>
        <w:spacing w:after="0" w:line="360" w:lineRule="auto"/>
        <w:ind w:firstLine="720"/>
        <w:jc w:val="both"/>
        <w:rPr>
          <w:rFonts w:ascii="Times New Roman" w:hAnsi="Times New Roman" w:eastAsia="Times New Roman" w:cs="Times New Roman"/>
          <w:i/>
          <w:sz w:val="24"/>
          <w:szCs w:val="24"/>
          <w:u w:val="single"/>
          <w:lang w:val="bg-BG" w:eastAsia="bg-BG"/>
        </w:rPr>
      </w:pPr>
      <w:r>
        <w:rPr>
          <w:rFonts w:ascii="Times New Roman" w:hAnsi="Times New Roman" w:eastAsia="Times New Roman" w:cs="Times New Roman"/>
          <w:i/>
          <w:sz w:val="24"/>
          <w:szCs w:val="24"/>
          <w:u w:val="single"/>
          <w:lang w:val="bg-BG" w:eastAsia="bg-BG"/>
        </w:rPr>
        <w:t>География и икономика</w:t>
      </w:r>
    </w:p>
    <w:p>
      <w:pPr>
        <w:numPr>
          <w:ilvl w:val="0"/>
          <w:numId w:val="5"/>
        </w:numPr>
        <w:tabs>
          <w:tab w:val="left" w:pos="0"/>
          <w:tab w:val="left" w:pos="1276"/>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 VІ и VІІ клас – общо от 81 до 102 учебни часа за трите класа;</w:t>
      </w:r>
    </w:p>
    <w:p>
      <w:pPr>
        <w:numPr>
          <w:ilvl w:val="0"/>
          <w:numId w:val="5"/>
        </w:numPr>
        <w:tabs>
          <w:tab w:val="left" w:pos="0"/>
          <w:tab w:val="left" w:pos="1276"/>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VІІІ, ІХ, Х, ХІ и ХІІ клас – общо 90 учебни часа за петте класа.</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11.2.2. Подготовка на деца в предучилищна възраст (4 – 7-годишни) по образователно направление „Български език и литература“ – до 4 педагогически ситуации седмично с продължителност от 20 до 30 минути (до 124 педагогически ситуации годишно). </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11.2.3. Подготовка на кандидат-студенти за продължаване на образованието във висши училища по:</w:t>
      </w:r>
    </w:p>
    <w:p>
      <w:pPr>
        <w:numPr>
          <w:ilvl w:val="1"/>
          <w:numId w:val="6"/>
        </w:numPr>
        <w:tabs>
          <w:tab w:val="left" w:pos="284"/>
          <w:tab w:val="left" w:pos="990"/>
        </w:tabs>
        <w:spacing w:after="0" w:line="360" w:lineRule="auto"/>
        <w:ind w:left="993" w:hanging="273"/>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български език и литература – до 100 учебни часа годишно;</w:t>
      </w:r>
    </w:p>
    <w:p>
      <w:pPr>
        <w:numPr>
          <w:ilvl w:val="1"/>
          <w:numId w:val="6"/>
        </w:numPr>
        <w:tabs>
          <w:tab w:val="left" w:pos="284"/>
          <w:tab w:val="left" w:pos="990"/>
        </w:tabs>
        <w:spacing w:after="0" w:line="360" w:lineRule="auto"/>
        <w:ind w:left="993" w:hanging="273"/>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история и цивилизация (в частта, отнасяща се до история на България) – до 80 учебни часа годишно;</w:t>
      </w:r>
    </w:p>
    <w:p>
      <w:pPr>
        <w:numPr>
          <w:ilvl w:val="1"/>
          <w:numId w:val="6"/>
        </w:numPr>
        <w:tabs>
          <w:tab w:val="left" w:pos="284"/>
          <w:tab w:val="left" w:pos="990"/>
        </w:tabs>
        <w:spacing w:after="0" w:line="360" w:lineRule="auto"/>
        <w:ind w:left="993" w:hanging="273"/>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география и икономика (в частта, отнасяща се до география на България) – до 80 учебни часа годишно.</w:t>
      </w:r>
    </w:p>
    <w:p>
      <w:pPr>
        <w:tabs>
          <w:tab w:val="left" w:pos="0"/>
          <w:tab w:val="left" w:pos="1260"/>
        </w:tabs>
        <w:spacing w:after="0" w:line="360" w:lineRule="auto"/>
        <w:ind w:firstLine="720"/>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11.3.</w:t>
      </w:r>
      <w:r>
        <w:rPr>
          <w:rFonts w:ascii="Times New Roman" w:hAnsi="Times New Roman" w:eastAsia="Times New Roman" w:cs="Times New Roman"/>
          <w:sz w:val="24"/>
          <w:szCs w:val="24"/>
          <w:lang w:val="bg-BG" w:eastAsia="bg-BG"/>
        </w:rPr>
        <w:t xml:space="preserve"> </w:t>
      </w:r>
      <w:r>
        <w:rPr>
          <w:rFonts w:ascii="Times New Roman" w:hAnsi="Times New Roman" w:eastAsia="Times New Roman" w:cs="Times New Roman"/>
          <w:b/>
          <w:sz w:val="24"/>
          <w:szCs w:val="24"/>
          <w:lang w:val="bg-BG" w:eastAsia="bg-BG"/>
        </w:rPr>
        <w:t>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11.3.1. Организиране на допълнителни училищни дейности в областта на родинознанието (роден край, български исторически факти и личности, </w:t>
      </w:r>
      <w:r>
        <w:rPr>
          <w:rFonts w:ascii="Times New Roman" w:hAnsi="Times New Roman" w:eastAsia="Times New Roman" w:cs="Times New Roman"/>
          <w:bCs/>
          <w:sz w:val="24"/>
          <w:szCs w:val="24"/>
          <w:lang w:val="bg-BG" w:eastAsia="bg-BG"/>
        </w:rPr>
        <w:t>български исторически и природни забележителности</w:t>
      </w:r>
      <w:r>
        <w:rPr>
          <w:rFonts w:ascii="Times New Roman" w:hAnsi="Times New Roman" w:eastAsia="Times New Roman" w:cs="Times New Roman"/>
          <w:sz w:val="24"/>
          <w:szCs w:val="24"/>
          <w:lang w:val="bg-BG" w:eastAsia="bg-BG"/>
        </w:rPr>
        <w:t>,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11.3.2. Осигуряване на фолклорни костюми и народни музикални инструменти.</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11.3.3. Транспортиране на фолклорни костюми и народни музикални инструменти, закупени от България.</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Бенефициент може да кандидатства само за провеждане на обучение по история и цивилизации и по география и икономика в частта им, отнасяща се до историята и географията на България, и/или за организиране на допълнителни училищни дейности, свързани със съхраняване на националното самосъзнание, култура и традиции в случай,  децата/учениците, включени в обучението и/или в допълнителните училищни дейности, се обучават по български език в местно училище, за което се представя декларация. </w:t>
      </w:r>
    </w:p>
    <w:p>
      <w:pPr>
        <w:tabs>
          <w:tab w:val="left" w:pos="0"/>
        </w:tabs>
        <w:autoSpaceDE w:val="0"/>
        <w:autoSpaceDN w:val="0"/>
        <w:adjustRightInd w:val="0"/>
        <w:spacing w:after="0" w:line="360" w:lineRule="auto"/>
        <w:ind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Обучението, допълнителните училищни дейности, свързани със съхраняване на националното самосъзнание, култура и традиции, и кандидат-студентските курсове се организират в присъствена форма и провеждат за най-малко:</w:t>
      </w:r>
    </w:p>
    <w:p>
      <w:pPr>
        <w:numPr>
          <w:ilvl w:val="1"/>
          <w:numId w:val="6"/>
        </w:numPr>
        <w:tabs>
          <w:tab w:val="left" w:pos="0"/>
        </w:tabs>
        <w:autoSpaceDE w:val="0"/>
        <w:autoSpaceDN w:val="0"/>
        <w:adjustRightInd w:val="0"/>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10 деца и ученици общо за обучение;</w:t>
      </w:r>
    </w:p>
    <w:p>
      <w:pPr>
        <w:numPr>
          <w:ilvl w:val="1"/>
          <w:numId w:val="6"/>
        </w:numPr>
        <w:tabs>
          <w:tab w:val="left" w:pos="0"/>
        </w:tabs>
        <w:autoSpaceDE w:val="0"/>
        <w:autoSpaceDN w:val="0"/>
        <w:adjustRightInd w:val="0"/>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8 кандидат-студенти </w:t>
      </w:r>
      <w:r>
        <w:rPr>
          <w:rFonts w:hint="default" w:ascii="Times New Roman" w:hAnsi="Times New Roman" w:eastAsia="Times New Roman" w:cs="Times New Roman"/>
          <w:sz w:val="24"/>
          <w:szCs w:val="24"/>
          <w:lang w:val="bg-BG" w:eastAsia="bg-BG"/>
        </w:rPr>
        <w:t>за</w:t>
      </w:r>
      <w:r>
        <w:rPr>
          <w:rFonts w:ascii="Times New Roman" w:hAnsi="Times New Roman" w:eastAsia="Times New Roman" w:cs="Times New Roman"/>
          <w:sz w:val="24"/>
          <w:szCs w:val="24"/>
          <w:lang w:val="bg-BG" w:eastAsia="bg-BG"/>
        </w:rPr>
        <w:t xml:space="preserve"> подготовка за продължаване на образованието във висши училища;</w:t>
      </w:r>
    </w:p>
    <w:p>
      <w:pPr>
        <w:numPr>
          <w:ilvl w:val="1"/>
          <w:numId w:val="6"/>
        </w:numPr>
        <w:tabs>
          <w:tab w:val="left" w:pos="0"/>
        </w:tabs>
        <w:autoSpaceDE w:val="0"/>
        <w:autoSpaceDN w:val="0"/>
        <w:adjustRightInd w:val="0"/>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8 деца/ученици, включени в допълнителни училищни дейности.</w:t>
      </w:r>
    </w:p>
    <w:p>
      <w:pPr>
        <w:tabs>
          <w:tab w:val="left" w:pos="0"/>
        </w:tabs>
        <w:autoSpaceDE w:val="0"/>
        <w:autoSpaceDN w:val="0"/>
        <w:adjustRightInd w:val="0"/>
        <w:spacing w:after="0" w:line="360" w:lineRule="auto"/>
        <w:ind w:left="709"/>
        <w:jc w:val="both"/>
        <w:rPr>
          <w:rFonts w:ascii="Times New Roman" w:hAnsi="Times New Roman" w:eastAsia="Times New Roman" w:cs="Times New Roman"/>
          <w:b/>
          <w:bCs/>
          <w:i/>
          <w:iCs/>
          <w:sz w:val="24"/>
          <w:szCs w:val="24"/>
          <w:lang w:val="bg-BG" w:eastAsia="bg-BG"/>
        </w:rPr>
      </w:pPr>
      <w:r>
        <w:rPr>
          <w:rFonts w:ascii="Times New Roman" w:hAnsi="Times New Roman" w:eastAsia="Times New Roman" w:cs="Times New Roman"/>
          <w:b/>
          <w:bCs/>
          <w:i/>
          <w:iCs/>
          <w:sz w:val="24"/>
          <w:szCs w:val="24"/>
          <w:lang w:val="bg-BG" w:eastAsia="bg-BG"/>
        </w:rPr>
        <w:t xml:space="preserve">Изисквания при реализация на дейностите: </w:t>
      </w:r>
    </w:p>
    <w:p>
      <w:pPr>
        <w:tabs>
          <w:tab w:val="left" w:pos="0"/>
        </w:tabs>
        <w:autoSpaceDE w:val="0"/>
        <w:autoSpaceDN w:val="0"/>
        <w:adjustRightInd w:val="0"/>
        <w:spacing w:after="0" w:line="360" w:lineRule="auto"/>
        <w:ind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11.4.  Издаване на удостоверение за проведено обучение на учениците, завършили обучение по български език и литература, по история и цивилизации и по география и икономика в частта им, отнасяща се до историята и географията на България. Удостоверението се подписва от учителя и ръководителя на организацията/ институцията.</w:t>
      </w:r>
    </w:p>
    <w:p>
      <w:pPr>
        <w:tabs>
          <w:tab w:val="left" w:pos="0"/>
        </w:tabs>
        <w:spacing w:after="0" w:line="360" w:lineRule="auto"/>
        <w:ind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11.5. Провеждане на обучение и на допълнителни училищни дейности в електронна среда чрез използване на средствата на информационните и комуникационните технологии, когато не може да се провеждат присъствено поради извънредни обстоятелства. Обучението от разстояние в електронна среда включва дистанционни учебни часове, самоподготовка, текуща обратна връзка за резултатите от обучението и оценяване.</w:t>
      </w:r>
    </w:p>
    <w:p>
      <w:pPr>
        <w:tabs>
          <w:tab w:val="left" w:pos="0"/>
        </w:tabs>
        <w:spacing w:after="0" w:line="360" w:lineRule="auto"/>
        <w:ind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11.6. Бенефициентите водят и съхраняват следната задължителна документация:</w:t>
      </w:r>
    </w:p>
    <w:p>
      <w:pPr>
        <w:numPr>
          <w:ilvl w:val="0"/>
          <w:numId w:val="7"/>
        </w:numPr>
        <w:tabs>
          <w:tab w:val="left" w:pos="284"/>
          <w:tab w:val="left" w:pos="1134"/>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 занятието, име на учителя/ръководителя, подпис на учителя/ръководителя; в книгата се отразяват отсъствията на децата/учениците от учебните часове и/или от допълнителните училищни дейности;</w:t>
      </w:r>
    </w:p>
    <w:p>
      <w:pPr>
        <w:numPr>
          <w:ilvl w:val="0"/>
          <w:numId w:val="7"/>
        </w:numPr>
        <w:tabs>
          <w:tab w:val="left" w:pos="284"/>
          <w:tab w:val="left" w:pos="1134"/>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pPr>
        <w:numPr>
          <w:ilvl w:val="0"/>
          <w:numId w:val="7"/>
        </w:numPr>
        <w:tabs>
          <w:tab w:val="left" w:pos="284"/>
          <w:tab w:val="left" w:pos="1134"/>
        </w:tabs>
        <w:spacing w:after="0" w:line="360" w:lineRule="auto"/>
        <w:ind w:left="993" w:hanging="284"/>
        <w:jc w:val="both"/>
        <w:rPr>
          <w:rFonts w:ascii="Times New Roman" w:hAnsi="Times New Roman" w:eastAsia="Times New Roman" w:cs="Times New Roman"/>
          <w:bCs/>
          <w:sz w:val="24"/>
          <w:szCs w:val="24"/>
          <w:lang w:val="bg-BG" w:eastAsia="bg-BG"/>
        </w:rPr>
      </w:pPr>
      <w:r>
        <w:rPr>
          <w:rFonts w:ascii="Times New Roman" w:hAnsi="Times New Roman" w:eastAsia="Times New Roman" w:cs="Times New Roman"/>
          <w:sz w:val="24"/>
          <w:szCs w:val="24"/>
          <w:lang w:val="bg-BG" w:eastAsia="bg-BG"/>
        </w:rPr>
        <w:t xml:space="preserve">регистрационна книга за издадените удостоверения за проведено обучение със следните реквизити: № по ред, регистрационен №, дата на издаване, име на ученика, дата на раждане, място на раждане, </w:t>
      </w:r>
      <w:r>
        <w:rPr>
          <w:rFonts w:ascii="Times New Roman" w:hAnsi="Times New Roman" w:eastAsia="Times New Roman" w:cs="Times New Roman"/>
          <w:bCs/>
          <w:iCs/>
          <w:sz w:val="24"/>
          <w:szCs w:val="24"/>
          <w:lang w:val="bg-BG" w:eastAsia="bg-BG"/>
        </w:rPr>
        <w:t>завършено обучение по … за … клас, подпис на родителя.</w:t>
      </w:r>
    </w:p>
    <w:p>
      <w:pPr>
        <w:tabs>
          <w:tab w:val="left" w:pos="0"/>
        </w:tabs>
        <w:spacing w:after="0" w:line="360" w:lineRule="auto"/>
        <w:jc w:val="center"/>
        <w:rPr>
          <w:rFonts w:ascii="Times New Roman" w:hAnsi="Times New Roman" w:eastAsia="Times New Roman" w:cs="Times New Roman"/>
          <w:b/>
          <w:iCs/>
          <w:sz w:val="24"/>
          <w:szCs w:val="24"/>
          <w:u w:val="single"/>
          <w:lang w:val="bg-BG" w:eastAsia="bg-BG"/>
        </w:rPr>
      </w:pPr>
      <w:bookmarkStart w:id="5" w:name="_Hlk156911530"/>
    </w:p>
    <w:p>
      <w:pPr>
        <w:tabs>
          <w:tab w:val="left" w:pos="0"/>
        </w:tabs>
        <w:spacing w:after="0" w:line="360" w:lineRule="auto"/>
        <w:jc w:val="both"/>
        <w:rPr>
          <w:rFonts w:hint="default" w:ascii="Times New Roman" w:hAnsi="Times New Roman" w:eastAsia="Times New Roman" w:cs="Times New Roman"/>
          <w:b/>
          <w:iCs/>
          <w:sz w:val="24"/>
          <w:szCs w:val="24"/>
          <w:lang w:val="en-US" w:eastAsia="bg-BG"/>
        </w:rPr>
      </w:pPr>
      <w:bookmarkStart w:id="6" w:name="_Hlk156933738"/>
      <w:r>
        <w:rPr>
          <w:rFonts w:ascii="Times New Roman" w:hAnsi="Times New Roman" w:eastAsia="Times New Roman" w:cs="Times New Roman"/>
          <w:b/>
          <w:iCs/>
          <w:sz w:val="24"/>
          <w:szCs w:val="24"/>
          <w:lang w:val="bg-BG" w:eastAsia="bg-BG"/>
        </w:rPr>
        <w:t>Модул 2 „Квалификация на учители в българските неделни училища в чужбина“</w:t>
      </w:r>
      <w:bookmarkEnd w:id="6"/>
      <w:r>
        <w:rPr>
          <w:rFonts w:hint="default" w:ascii="Times New Roman" w:hAnsi="Times New Roman" w:eastAsia="Times New Roman" w:cs="Times New Roman"/>
          <w:b/>
          <w:iCs/>
          <w:sz w:val="24"/>
          <w:szCs w:val="24"/>
          <w:lang w:val="en-US" w:eastAsia="bg-BG"/>
        </w:rPr>
        <w:t xml:space="preserve"> :</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Организиране и провеждане на дългосрочни курсове за следдипломна квалификация на преподаващите български език в чужбина, с които да се представи методическата специфика на обучението по български език в чуждоезикова среда – лингвистични и дидактически аспекти.</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С оглед разнообразните нужди на преподаващите български език зад граница се организират два вида курсове за следдипломна квалификация:</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 xml:space="preserve">- За лица с придобита квалификация „учител“ – 200 учебни часа. </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 xml:space="preserve">- За лица без педагогическа правоспособност – 250 учебни часа. </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 xml:space="preserve">В края на курса участниците получават </w:t>
      </w:r>
      <w:r>
        <w:rPr>
          <w:rFonts w:ascii="Times New Roman" w:hAnsi="Times New Roman" w:eastAsia="Times New Roman" w:cs="Times New Roman"/>
          <w:bCs/>
          <w:i/>
          <w:sz w:val="24"/>
          <w:szCs w:val="24"/>
          <w:lang w:val="bg-BG" w:eastAsia="bg-BG"/>
        </w:rPr>
        <w:t xml:space="preserve">Свидетелство за професионална квалификация </w:t>
      </w:r>
      <w:r>
        <w:rPr>
          <w:rFonts w:ascii="Times New Roman" w:hAnsi="Times New Roman" w:eastAsia="Times New Roman" w:cs="Times New Roman"/>
          <w:bCs/>
          <w:iCs/>
          <w:sz w:val="24"/>
          <w:szCs w:val="24"/>
          <w:lang w:val="bg-BG" w:eastAsia="bg-BG"/>
        </w:rPr>
        <w:t>с отбелязани: темата на курса, учебните дисциплини, хорариум, оценки от изпитите.</w:t>
      </w:r>
    </w:p>
    <w:p>
      <w:pPr>
        <w:tabs>
          <w:tab w:val="left" w:pos="0"/>
          <w:tab w:val="left" w:pos="426"/>
          <w:tab w:val="left" w:pos="567"/>
        </w:tabs>
        <w:spacing w:after="0" w:line="360" w:lineRule="auto"/>
        <w:ind w:right="141"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ДВУ, допустими бенефициенти по Модул 2, които имат сключени споразумения с МОН, определят реда и условията за подбор на участниците, организират и провеждат курсовете. Списъкът на лицата, включени в обучението, се съгласува с МОН. </w:t>
      </w:r>
    </w:p>
    <w:p>
      <w:pPr>
        <w:tabs>
          <w:tab w:val="left" w:pos="0"/>
          <w:tab w:val="left" w:pos="426"/>
          <w:tab w:val="left" w:pos="567"/>
        </w:tabs>
        <w:spacing w:after="0" w:line="360" w:lineRule="auto"/>
        <w:ind w:right="141"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Курсовете за следдипломна квалификация може да се провеждат в групи до 25 участника – в електронна среда и/или с присъствени часове.  </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Индикативно разпределение на вида на групите и на средствата:</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- 2 групи за курс на лица с придобита квалификация „учител“ – общо до 80 000 лв.;</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r>
        <w:rPr>
          <w:rFonts w:ascii="Times New Roman" w:hAnsi="Times New Roman" w:eastAsia="Times New Roman" w:cs="Times New Roman"/>
          <w:bCs/>
          <w:iCs/>
          <w:sz w:val="24"/>
          <w:szCs w:val="24"/>
          <w:lang w:val="bg-BG" w:eastAsia="bg-BG"/>
        </w:rPr>
        <w:t xml:space="preserve">- 3 групи за курс на лица без педагогическа правоспособност – общо до 150 000 лв.  </w:t>
      </w:r>
    </w:p>
    <w:p>
      <w:pPr>
        <w:tabs>
          <w:tab w:val="left" w:pos="0"/>
        </w:tabs>
        <w:spacing w:after="0" w:line="360" w:lineRule="auto"/>
        <w:ind w:firstLine="708"/>
        <w:jc w:val="both"/>
        <w:rPr>
          <w:rFonts w:ascii="Times New Roman" w:hAnsi="Times New Roman" w:eastAsia="Times New Roman" w:cs="Times New Roman"/>
          <w:bCs/>
          <w:iCs/>
          <w:sz w:val="24"/>
          <w:szCs w:val="24"/>
          <w:lang w:val="bg-BG" w:eastAsia="bg-BG"/>
        </w:rPr>
      </w:pPr>
    </w:p>
    <w:p>
      <w:pPr>
        <w:tabs>
          <w:tab w:val="left" w:pos="0"/>
        </w:tabs>
        <w:spacing w:after="0" w:line="360" w:lineRule="auto"/>
        <w:rPr>
          <w:rFonts w:ascii="Times New Roman" w:hAnsi="Times New Roman" w:eastAsia="Times New Roman" w:cs="Times New Roman"/>
          <w:b/>
          <w:iCs/>
          <w:sz w:val="24"/>
          <w:szCs w:val="24"/>
          <w:lang w:val="bg-BG" w:eastAsia="bg-BG"/>
        </w:rPr>
      </w:pPr>
      <w:bookmarkStart w:id="7" w:name="_Hlk156936445"/>
      <w:r>
        <w:rPr>
          <w:rFonts w:ascii="Times New Roman" w:hAnsi="Times New Roman" w:eastAsia="Times New Roman" w:cs="Times New Roman"/>
          <w:b/>
          <w:iCs/>
          <w:sz w:val="24"/>
          <w:szCs w:val="24"/>
          <w:lang w:val="bg-BG" w:eastAsia="bg-BG"/>
        </w:rPr>
        <w:t>Модул 3 „Обмен на добри практики и създаване на образователни ресурси за обучението, организирано в чужбина“</w:t>
      </w:r>
      <w:bookmarkEnd w:id="5"/>
      <w:r>
        <w:rPr>
          <w:rFonts w:hint="default" w:ascii="Times New Roman" w:hAnsi="Times New Roman" w:eastAsia="Times New Roman" w:cs="Times New Roman"/>
          <w:b/>
          <w:iCs/>
          <w:sz w:val="24"/>
          <w:szCs w:val="24"/>
          <w:lang w:val="en-US" w:eastAsia="bg-BG"/>
        </w:rPr>
        <w:t xml:space="preserve"> :</w:t>
      </w:r>
      <w:r>
        <w:rPr>
          <w:rFonts w:ascii="Times New Roman" w:hAnsi="Times New Roman" w:eastAsia="Times New Roman" w:cs="Times New Roman"/>
          <w:sz w:val="24"/>
          <w:szCs w:val="24"/>
          <w:lang w:val="bg-BG" w:eastAsia="bg-BG"/>
        </w:rPr>
        <w:tab/>
      </w:r>
    </w:p>
    <w:bookmarkEnd w:id="7"/>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Организиране и провеждане в български неделни училища в чужбина на срещи, форуми, майсторски класове, конференции, чествания в подкрепа на обучението в БНУ в чужбина и обединение на българските общности за съхранение на българската идентичност, фолклор и култура;</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Изготвяне на образователни ресурси за подпомагане на обучението, организирано в чужбина.</w:t>
      </w:r>
    </w:p>
    <w:p>
      <w:pPr>
        <w:tabs>
          <w:tab w:val="left" w:pos="0"/>
          <w:tab w:val="left" w:pos="426"/>
          <w:tab w:val="left" w:pos="567"/>
        </w:tabs>
        <w:spacing w:after="0" w:line="360" w:lineRule="auto"/>
        <w:ind w:right="-2"/>
        <w:jc w:val="both"/>
        <w:rPr>
          <w:rFonts w:ascii="Times New Roman" w:hAnsi="Times New Roman" w:eastAsia="Times New Roman" w:cs="Times New Roman"/>
          <w:b/>
          <w:sz w:val="24"/>
          <w:szCs w:val="24"/>
          <w:highlight w:val="yellow"/>
          <w:lang w:val="bg-BG" w:eastAsia="bg-BG"/>
        </w:rPr>
      </w:pPr>
    </w:p>
    <w:p>
      <w:pPr>
        <w:tabs>
          <w:tab w:val="left" w:pos="0"/>
          <w:tab w:val="left" w:pos="426"/>
          <w:tab w:val="left" w:pos="567"/>
        </w:tabs>
        <w:spacing w:after="0" w:line="360" w:lineRule="auto"/>
        <w:ind w:right="-2"/>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b/>
          <w:sz w:val="24"/>
          <w:szCs w:val="24"/>
          <w:lang w:val="bg-BG" w:eastAsia="bg-BG"/>
        </w:rPr>
        <w:t>12.</w:t>
      </w:r>
      <w:r>
        <w:rPr>
          <w:rFonts w:ascii="Times New Roman" w:hAnsi="Times New Roman" w:eastAsia="Times New Roman" w:cs="Times New Roman"/>
          <w:sz w:val="24"/>
          <w:szCs w:val="24"/>
          <w:lang w:val="bg-BG" w:eastAsia="bg-BG"/>
        </w:rPr>
        <w:t xml:space="preserve"> </w:t>
      </w:r>
      <w:r>
        <w:rPr>
          <w:rFonts w:ascii="Times New Roman" w:hAnsi="Times New Roman" w:eastAsia="Times New Roman" w:cs="Times New Roman"/>
          <w:b/>
          <w:bCs/>
          <w:iCs/>
          <w:sz w:val="24"/>
          <w:szCs w:val="24"/>
          <w:lang w:val="bg-BG" w:eastAsia="bg-BG"/>
        </w:rPr>
        <w:t>ДОПУСТИМИ РАЗХОДИ И ЕТАПИ НА ФИНАНСИРАНЕ</w:t>
      </w:r>
      <w:r>
        <w:rPr>
          <w:rFonts w:ascii="Times New Roman" w:hAnsi="Times New Roman" w:eastAsia="Times New Roman" w:cs="Times New Roman"/>
          <w:b/>
          <w:sz w:val="24"/>
          <w:szCs w:val="24"/>
          <w:lang w:val="bg-BG" w:eastAsia="bg-BG"/>
        </w:rPr>
        <w:t xml:space="preserve"> </w:t>
      </w:r>
    </w:p>
    <w:p>
      <w:pPr>
        <w:spacing w:after="0" w:line="360" w:lineRule="auto"/>
        <w:rPr>
          <w:rFonts w:ascii="Times New Roman" w:hAnsi="Times New Roman" w:cs="Times New Roman"/>
          <w:b/>
          <w:bCs/>
          <w:sz w:val="24"/>
          <w:szCs w:val="24"/>
          <w:u w:val="single"/>
          <w:lang w:val="bg-BG"/>
        </w:rPr>
      </w:pPr>
      <w:bookmarkStart w:id="8" w:name="_Hlk156911480"/>
    </w:p>
    <w:p>
      <w:pPr>
        <w:spacing w:after="0" w:line="360" w:lineRule="auto"/>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r>
        <w:rPr>
          <w:rFonts w:hint="default" w:ascii="Times New Roman" w:hAnsi="Times New Roman" w:cs="Times New Roman"/>
          <w:b/>
          <w:bCs/>
          <w:sz w:val="24"/>
          <w:szCs w:val="24"/>
          <w:lang w:val="bg-BG"/>
        </w:rPr>
        <w:t xml:space="preserve"> :</w:t>
      </w:r>
    </w:p>
    <w:bookmarkEnd w:id="8"/>
    <w:p>
      <w:pPr>
        <w:tabs>
          <w:tab w:val="left" w:pos="0"/>
          <w:tab w:val="left" w:pos="426"/>
          <w:tab w:val="left" w:pos="567"/>
        </w:tabs>
        <w:spacing w:after="0" w:line="360" w:lineRule="auto"/>
        <w:ind w:right="-2" w:firstLine="720"/>
        <w:jc w:val="both"/>
        <w:rPr>
          <w:rFonts w:ascii="Times New Roman" w:hAnsi="Times New Roman" w:eastAsia="Times New Roman" w:cs="Times New Roman"/>
          <w:b/>
          <w:sz w:val="24"/>
          <w:szCs w:val="24"/>
          <w:lang w:val="bg-BG" w:eastAsia="bg-BG"/>
        </w:rPr>
      </w:pPr>
    </w:p>
    <w:p>
      <w:pPr>
        <w:tabs>
          <w:tab w:val="left" w:pos="0"/>
        </w:tabs>
        <w:spacing w:after="0" w:line="360" w:lineRule="auto"/>
        <w:ind w:right="-20"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Допустимите за финансиране разходи се регламентират в Правила за отчитане на дейността и на средствата, предоставени за учебната 2024/2025 година, одобрени със заповед от министъра на образованието и науката. </w:t>
      </w:r>
    </w:p>
    <w:p>
      <w:pPr>
        <w:tabs>
          <w:tab w:val="left" w:pos="0"/>
        </w:tabs>
        <w:spacing w:after="0" w:line="360" w:lineRule="auto"/>
        <w:ind w:firstLine="709"/>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Максималната стойност на един проект е 40 000 лв., но не повече от 1 500 лв. за наем на помещение и не повече от 250 лева на:</w:t>
      </w:r>
    </w:p>
    <w:p>
      <w:pPr>
        <w:numPr>
          <w:ilvl w:val="0"/>
          <w:numId w:val="7"/>
        </w:numPr>
        <w:tabs>
          <w:tab w:val="left" w:pos="0"/>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дете/ученик;</w:t>
      </w:r>
    </w:p>
    <w:p>
      <w:pPr>
        <w:numPr>
          <w:ilvl w:val="0"/>
          <w:numId w:val="7"/>
        </w:numPr>
        <w:tabs>
          <w:tab w:val="left" w:pos="0"/>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кандидат-студент.</w:t>
      </w:r>
    </w:p>
    <w:p>
      <w:pPr>
        <w:tabs>
          <w:tab w:val="left" w:pos="0"/>
        </w:tabs>
        <w:spacing w:after="0" w:line="360" w:lineRule="auto"/>
        <w:ind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Размерът на лекторския час е до 30 лева (осигурителните вноски върху възнагражденията са за сметка на бенефициента и лицата).</w:t>
      </w:r>
    </w:p>
    <w:p>
      <w:pPr>
        <w:tabs>
          <w:tab w:val="left" w:pos="0"/>
          <w:tab w:val="left" w:pos="426"/>
          <w:tab w:val="left" w:pos="567"/>
        </w:tabs>
        <w:spacing w:after="0" w:line="360" w:lineRule="auto"/>
        <w:ind w:right="141"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Финансирането на одобрените проекти се извършва на два етапа:</w:t>
      </w:r>
    </w:p>
    <w:p>
      <w:pPr>
        <w:numPr>
          <w:ilvl w:val="0"/>
          <w:numId w:val="8"/>
        </w:numPr>
        <w:tabs>
          <w:tab w:val="left" w:pos="142"/>
          <w:tab w:val="left" w:pos="1134"/>
          <w:tab w:val="left" w:pos="1276"/>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авансово плащане в размер 70 % от одобрените проектни суми в срок до три месеца от одобряването на проекта; </w:t>
      </w:r>
    </w:p>
    <w:p>
      <w:pPr>
        <w:numPr>
          <w:ilvl w:val="0"/>
          <w:numId w:val="8"/>
        </w:numPr>
        <w:tabs>
          <w:tab w:val="left" w:pos="142"/>
          <w:tab w:val="left" w:pos="1134"/>
          <w:tab w:val="left" w:pos="1276"/>
        </w:tabs>
        <w:spacing w:after="0" w:line="360" w:lineRule="auto"/>
        <w:ind w:left="993"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окончателно разплащане в размер на 30 % от одобрените проектни суми в срок  до 30.11.2024 г. след представяне в МОН на информация за настъпили промени в декларираните обстоятелства при кандидатстването на бенефициента по програмата. </w:t>
      </w:r>
    </w:p>
    <w:p>
      <w:pPr>
        <w:tabs>
          <w:tab w:val="left" w:pos="142"/>
          <w:tab w:val="left" w:pos="1134"/>
          <w:tab w:val="left" w:pos="1276"/>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За администриране в електронна среда на кандидатстването и отчитането на проектите за дейностите и поддръжка на електронна система се разходват до 30 000 лв. от средствата по Модул 1, след сключване на договор между МОН и изпълнителя. С договора се определят редът и условията за получаване, разходване и отчитане на средствата.</w:t>
      </w:r>
    </w:p>
    <w:p>
      <w:pPr>
        <w:tabs>
          <w:tab w:val="left" w:pos="142"/>
          <w:tab w:val="left" w:pos="1134"/>
          <w:tab w:val="left" w:pos="1276"/>
        </w:tabs>
        <w:spacing w:after="0" w:line="360" w:lineRule="auto"/>
        <w:jc w:val="both"/>
        <w:rPr>
          <w:rFonts w:ascii="Times New Roman" w:hAnsi="Times New Roman" w:eastAsia="Times New Roman" w:cs="Times New Roman"/>
          <w:sz w:val="24"/>
          <w:szCs w:val="24"/>
          <w:lang w:val="bg-BG" w:eastAsia="bg-BG"/>
        </w:rPr>
      </w:pPr>
    </w:p>
    <w:p>
      <w:pPr>
        <w:tabs>
          <w:tab w:val="left" w:pos="142"/>
          <w:tab w:val="left" w:pos="1134"/>
          <w:tab w:val="left" w:pos="1276"/>
        </w:tabs>
        <w:spacing w:after="0" w:line="360" w:lineRule="auto"/>
        <w:jc w:val="center"/>
        <w:rPr>
          <w:rFonts w:hint="default" w:ascii="Times New Roman" w:hAnsi="Times New Roman" w:eastAsia="Times New Roman" w:cs="Times New Roman"/>
          <w:sz w:val="24"/>
          <w:szCs w:val="24"/>
          <w:lang w:val="en-US" w:eastAsia="bg-BG"/>
        </w:rPr>
      </w:pPr>
      <w:r>
        <w:rPr>
          <w:rFonts w:ascii="Times New Roman" w:hAnsi="Times New Roman" w:eastAsia="Times New Roman" w:cs="Times New Roman"/>
          <w:b/>
          <w:iCs/>
          <w:sz w:val="24"/>
          <w:szCs w:val="24"/>
          <w:lang w:val="bg-BG" w:eastAsia="bg-BG"/>
        </w:rPr>
        <w:t>Модул 2 „Квалификация на учители в българските неделни училища в чужбина“</w:t>
      </w:r>
      <w:r>
        <w:rPr>
          <w:rFonts w:hint="default" w:ascii="Times New Roman" w:hAnsi="Times New Roman" w:eastAsia="Times New Roman" w:cs="Times New Roman"/>
          <w:b/>
          <w:iCs/>
          <w:sz w:val="24"/>
          <w:szCs w:val="24"/>
          <w:lang w:val="en-US" w:eastAsia="bg-BG"/>
        </w:rPr>
        <w:t xml:space="preserve"> :</w:t>
      </w:r>
    </w:p>
    <w:p>
      <w:pPr>
        <w:tabs>
          <w:tab w:val="left" w:pos="142"/>
          <w:tab w:val="left" w:pos="1134"/>
          <w:tab w:val="left" w:pos="1276"/>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Допустими са:</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bookmarkStart w:id="9" w:name="_Hlk156980542"/>
      <w:r>
        <w:rPr>
          <w:rFonts w:ascii="Times New Roman" w:hAnsi="Times New Roman" w:eastAsia="Times New Roman" w:cs="Times New Roman"/>
          <w:sz w:val="24"/>
          <w:szCs w:val="24"/>
          <w:lang w:val="bg-BG" w:eastAsia="bg-BG"/>
        </w:rPr>
        <w:t>разходи за възнаграждения на лица, пряко ангажирани с изготвяне на програмите, организирането и провеждането на курсовете, както и дължимите осигурителни плащания за сметка на работодателя;</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храна и нощувки на участници в обучения в присъствена форма;</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материали и консумативи, необходими за провеждане на обученията;</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външни услуги – в т.ч. наем на зали, помещения и техническо оборудване  за провеждане на обученията;</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командировъчни разходи за лица, пряко ангажирани с провеждането на курсовете – при организиране в чужбина. </w:t>
      </w:r>
    </w:p>
    <w:bookmarkEnd w:id="9"/>
    <w:p>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ДВУ получава определените с програмата средства еднократно, след подписване на споразумение с МОН и подаване на конкретна заявка за планиран курс за следдипломна квалификация. Заявките се подават в срок до 30.09.2024 г.,  като се посочват: индикативен брой на участниците, период на провеждане, форма на обучението, логистика, лектор, предварителна програма и график.</w:t>
      </w:r>
    </w:p>
    <w:p>
      <w:pPr>
        <w:spacing w:after="0" w:line="360" w:lineRule="auto"/>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Средствата се превеждат чрез банков трансфер по сметка на висшето училище, бенефициент по Модул 2. </w:t>
      </w:r>
    </w:p>
    <w:p>
      <w:pPr>
        <w:spacing w:after="0" w:line="360" w:lineRule="auto"/>
        <w:ind w:firstLine="709"/>
        <w:jc w:val="both"/>
        <w:rPr>
          <w:rFonts w:ascii="Times New Roman" w:hAnsi="Times New Roman" w:cs="Times New Roman"/>
          <w:sz w:val="24"/>
          <w:szCs w:val="24"/>
          <w:lang w:val="bg-BG"/>
        </w:rPr>
      </w:pPr>
    </w:p>
    <w:p>
      <w:pPr>
        <w:tabs>
          <w:tab w:val="left" w:pos="0"/>
        </w:tabs>
        <w:spacing w:after="0" w:line="360" w:lineRule="auto"/>
        <w:rPr>
          <w:rFonts w:ascii="Times New Roman" w:hAnsi="Times New Roman" w:eastAsia="Times New Roman" w:cs="Times New Roman"/>
          <w:b/>
          <w:iCs/>
          <w:sz w:val="24"/>
          <w:szCs w:val="24"/>
          <w:lang w:val="bg-BG" w:eastAsia="bg-BG"/>
        </w:rPr>
      </w:pPr>
      <w:bookmarkStart w:id="10" w:name="_Hlk156936971"/>
      <w:r>
        <w:rPr>
          <w:rFonts w:ascii="Times New Roman" w:hAnsi="Times New Roman" w:eastAsia="Times New Roman" w:cs="Times New Roman"/>
          <w:b/>
          <w:iCs/>
          <w:sz w:val="24"/>
          <w:szCs w:val="24"/>
          <w:lang w:val="bg-BG" w:eastAsia="bg-BG"/>
        </w:rPr>
        <w:t>Модул 3 „Обмен на добри практики и създаване на образователни ресурси за обучението, организирано в чужбина“</w:t>
      </w:r>
      <w:bookmarkEnd w:id="10"/>
      <w:r>
        <w:rPr>
          <w:rFonts w:hint="default" w:ascii="Times New Roman" w:hAnsi="Times New Roman" w:eastAsia="Times New Roman" w:cs="Times New Roman"/>
          <w:b/>
          <w:iCs/>
          <w:sz w:val="24"/>
          <w:szCs w:val="24"/>
          <w:lang w:val="en-US" w:eastAsia="bg-BG"/>
        </w:rPr>
        <w:t xml:space="preserve"> :</w:t>
      </w:r>
      <w:r>
        <w:rPr>
          <w:rFonts w:ascii="Times New Roman" w:hAnsi="Times New Roman" w:eastAsia="Times New Roman" w:cs="Times New Roman"/>
          <w:sz w:val="24"/>
          <w:szCs w:val="24"/>
          <w:lang w:val="bg-BG" w:eastAsia="bg-BG"/>
        </w:rPr>
        <w:tab/>
      </w:r>
    </w:p>
    <w:p>
      <w:pPr>
        <w:spacing w:after="0" w:line="360" w:lineRule="auto"/>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Допустими са:</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възнаграждения на лица, пряко ангажирани с изготвяне и реализиране на конкретен проект, организирането и провеждането на майсторски класове, както и дължимите осигурителни плащания за сметка на работодателя;</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възнаграждения на лица, пряко ангажирани с изготвяне на ресурси за обучението, организирано в чужбина,</w:t>
      </w:r>
      <w:r>
        <w:t xml:space="preserve"> </w:t>
      </w:r>
      <w:r>
        <w:rPr>
          <w:rFonts w:ascii="Times New Roman" w:hAnsi="Times New Roman" w:eastAsia="Times New Roman" w:cs="Times New Roman"/>
          <w:sz w:val="24"/>
          <w:szCs w:val="24"/>
          <w:lang w:val="bg-BG" w:eastAsia="bg-BG"/>
        </w:rPr>
        <w:t>както и дължимите осигурителни плащания за сметка на работодателя;</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материали и консумативи, необходими за провеждане на форуми, чествания, майсторски класове и др. одобрени събития от МОН;</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разходи за външни услуги – в т.ч. наем на зали, помещения и техническо оборудване  за провеждане на обученията, осигуряване на е-пространство при провеждане на събитията в електронна среда от разстояние;</w:t>
      </w:r>
    </w:p>
    <w:p>
      <w:pPr>
        <w:numPr>
          <w:ilvl w:val="0"/>
          <w:numId w:val="9"/>
        </w:numPr>
        <w:tabs>
          <w:tab w:val="left" w:pos="284"/>
          <w:tab w:val="left" w:pos="426"/>
          <w:tab w:val="left" w:pos="567"/>
          <w:tab w:val="left" w:pos="720"/>
          <w:tab w:val="left" w:pos="1134"/>
        </w:tabs>
        <w:spacing w:after="0" w:line="360" w:lineRule="auto"/>
        <w:ind w:left="993" w:right="141" w:hanging="284"/>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командировъчни разходи за лица, пряко ангажирани с провеждането на събитията. </w:t>
      </w:r>
    </w:p>
    <w:p>
      <w:pPr>
        <w:spacing w:after="0" w:line="360" w:lineRule="auto"/>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Средствата се предоставят еднократно, не по-късно от 15 декември 2024 г., след одобряване на списък/списъци на дейностите и бенефициентите от министъра на образованието и науката. С одобрената сума за реализиране на дейности по Модул 3 се завишава размерът на финансовото подпомагане на БНУ в чужбина за учебната 2024/2025 година. </w:t>
      </w:r>
    </w:p>
    <w:p>
      <w:pPr>
        <w:spacing w:after="0" w:line="360" w:lineRule="auto"/>
        <w:jc w:val="both"/>
        <w:rPr>
          <w:rFonts w:ascii="Times New Roman" w:hAnsi="Times New Roman" w:cs="Times New Roman"/>
          <w:sz w:val="24"/>
          <w:szCs w:val="24"/>
          <w:lang w:val="bg-BG"/>
        </w:rPr>
      </w:pPr>
    </w:p>
    <w:p>
      <w:pPr>
        <w:rPr>
          <w:rFonts w:ascii="Times New Roman" w:hAnsi="Times New Roman" w:cs="Times New Roman"/>
          <w:b/>
          <w:bCs/>
          <w:sz w:val="24"/>
          <w:szCs w:val="24"/>
          <w:lang w:val="bg-BG"/>
        </w:rPr>
      </w:pPr>
      <w:r>
        <w:rPr>
          <w:rFonts w:ascii="Times New Roman" w:hAnsi="Times New Roman" w:cs="Times New Roman"/>
          <w:b/>
          <w:bCs/>
          <w:sz w:val="24"/>
          <w:szCs w:val="24"/>
          <w:lang w:val="bg-BG"/>
        </w:rPr>
        <w:t>13. УСЛОВИЯ И РЕД ЗА КАНДИДАТСТВАНЕ</w:t>
      </w:r>
    </w:p>
    <w:p>
      <w:pPr>
        <w:spacing w:after="0" w:line="360" w:lineRule="auto"/>
        <w:jc w:val="both"/>
        <w:rPr>
          <w:rFonts w:hint="default" w:ascii="Times New Roman" w:hAnsi="Times New Roman" w:cs="Times New Roman"/>
          <w:b/>
          <w:bCs/>
          <w:sz w:val="24"/>
          <w:szCs w:val="24"/>
          <w:lang w:val="bg-BG"/>
        </w:rPr>
      </w:pPr>
      <w:bookmarkStart w:id="11" w:name="_Hlk156913643"/>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bookmarkEnd w:id="11"/>
      <w:r>
        <w:rPr>
          <w:rFonts w:hint="default" w:ascii="Times New Roman" w:hAnsi="Times New Roman" w:cs="Times New Roman"/>
          <w:b/>
          <w:bCs/>
          <w:sz w:val="24"/>
          <w:szCs w:val="24"/>
          <w:lang w:val="bg-BG"/>
        </w:rPr>
        <w:t xml:space="preserve">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w:t>
      </w:r>
      <w:r>
        <w:rPr>
          <w:rFonts w:ascii="Times New Roman" w:hAnsi="Times New Roman" w:cs="Times New Roman"/>
          <w:sz w:val="24"/>
          <w:szCs w:val="24"/>
          <w:lang w:val="bg-BG"/>
        </w:rPr>
        <w:tab/>
      </w:r>
    </w:p>
    <w:p>
      <w:pPr>
        <w:spacing w:after="0" w:line="360" w:lineRule="auto"/>
        <w:ind w:firstLine="720"/>
        <w:jc w:val="both"/>
        <w:rPr>
          <w:rFonts w:ascii="Times New Roman" w:hAnsi="Times New Roman" w:cs="Times New Roman"/>
          <w:sz w:val="24"/>
          <w:szCs w:val="24"/>
          <w:lang w:val="bg-BG"/>
        </w:rPr>
      </w:pPr>
      <w:bookmarkStart w:id="12" w:name="_Hlk156937167"/>
      <w:r>
        <w:rPr>
          <w:rFonts w:ascii="Times New Roman" w:hAnsi="Times New Roman" w:cs="Times New Roman"/>
          <w:sz w:val="24"/>
          <w:szCs w:val="24"/>
          <w:lang w:val="bg-BG"/>
        </w:rPr>
        <w:t xml:space="preserve">Проектите се подават чрез електронната система </w:t>
      </w:r>
      <w:r>
        <w:fldChar w:fldCharType="begin"/>
      </w:r>
      <w:r>
        <w:instrText xml:space="preserve"> HYPERLINK "https://world.mon.bg/" </w:instrText>
      </w:r>
      <w:r>
        <w:fldChar w:fldCharType="separate"/>
      </w:r>
      <w:r>
        <w:rPr>
          <w:rStyle w:val="6"/>
          <w:rFonts w:ascii="Times New Roman" w:hAnsi="Times New Roman" w:cs="Times New Roman"/>
          <w:sz w:val="24"/>
          <w:szCs w:val="24"/>
          <w:lang w:val="bg-BG"/>
        </w:rPr>
        <w:t>https://world.mon.bg/</w:t>
      </w:r>
      <w:r>
        <w:rPr>
          <w:rStyle w:val="6"/>
          <w:rFonts w:ascii="Times New Roman" w:hAnsi="Times New Roman" w:cs="Times New Roman"/>
          <w:sz w:val="24"/>
          <w:szCs w:val="24"/>
          <w:lang w:val="bg-BG"/>
        </w:rPr>
        <w:fldChar w:fldCharType="end"/>
      </w:r>
      <w:r>
        <w:rPr>
          <w:rFonts w:ascii="Times New Roman" w:hAnsi="Times New Roman" w:cs="Times New Roman"/>
          <w:sz w:val="24"/>
          <w:szCs w:val="24"/>
          <w:lang w:val="bg-BG"/>
        </w:rPr>
        <w:t xml:space="preserve"> </w:t>
      </w:r>
      <w:bookmarkStart w:id="13" w:name="_Hlk158291957"/>
      <w:r>
        <w:rPr>
          <w:rFonts w:ascii="Times New Roman" w:hAnsi="Times New Roman" w:cs="Times New Roman"/>
          <w:sz w:val="24"/>
          <w:szCs w:val="24"/>
          <w:lang w:val="bg-BG"/>
        </w:rPr>
        <w:t>в срок от 30 календарни дни след публикуването на програмата на електронната страница на МОН</w:t>
      </w:r>
      <w:bookmarkEnd w:id="13"/>
      <w:r>
        <w:rPr>
          <w:rFonts w:ascii="Times New Roman" w:hAnsi="Times New Roman" w:cs="Times New Roman"/>
          <w:sz w:val="24"/>
          <w:szCs w:val="24"/>
          <w:lang w:val="bg-BG"/>
        </w:rPr>
        <w:t>.</w:t>
      </w:r>
    </w:p>
    <w:bookmarkEnd w:id="12"/>
    <w:p>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изискуемите документи за кандидатстване.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Съобразно дейностите, за които кандидатства, бенефициентът представя следните документи:</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xml:space="preserve">- Документ за регистрация на бенефициента в официален превод на български език – за кандидатите по т. 7.1. и т. 7.3. </w:t>
      </w:r>
      <w:r>
        <w:rPr>
          <w:rFonts w:hint="default" w:ascii="Times New Roman" w:hAnsi="Times New Roman" w:cs="Times New Roman"/>
          <w:sz w:val="24"/>
          <w:szCs w:val="24"/>
          <w:lang w:val="bg-BG"/>
        </w:rPr>
        <w:t>;</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Списък на учителите, които ще провеждат обучението, и на ръководителите на допълнителни училищни дейности с приложени към него документи за завършено 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дейности, които ще организира и провежда съответният ръководител</w:t>
      </w:r>
      <w:r>
        <w:rPr>
          <w:rFonts w:hint="default" w:ascii="Times New Roman" w:hAnsi="Times New Roman" w:cs="Times New Roman"/>
          <w:sz w:val="24"/>
          <w:szCs w:val="24"/>
          <w:lang w:val="bg-BG"/>
        </w:rPr>
        <w:t xml:space="preserve"> ;</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Списъци на децата/учениците/кандидат-студентите, включени в обучение и в допълнителни училищни дейности с пълните им имена по класове/групи и с година на раждане</w:t>
      </w:r>
      <w:r>
        <w:rPr>
          <w:rFonts w:hint="default" w:ascii="Times New Roman" w:hAnsi="Times New Roman" w:cs="Times New Roman"/>
          <w:sz w:val="24"/>
          <w:szCs w:val="24"/>
          <w:lang w:val="bg-BG"/>
        </w:rPr>
        <w:t xml:space="preserve"> ;</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Декларация от бенефициента, че е осигурена материална база за провеждане на обучението (свободен текст)</w:t>
      </w:r>
      <w:r>
        <w:rPr>
          <w:rFonts w:hint="default" w:ascii="Times New Roman" w:hAnsi="Times New Roman" w:cs="Times New Roman"/>
          <w:sz w:val="24"/>
          <w:szCs w:val="24"/>
          <w:lang w:val="bg-BG"/>
        </w:rPr>
        <w:t xml:space="preserve"> ;</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Годишно 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историята и географията на България</w:t>
      </w:r>
      <w:r>
        <w:rPr>
          <w:rFonts w:hint="default" w:ascii="Times New Roman" w:hAnsi="Times New Roman" w:cs="Times New Roman"/>
          <w:sz w:val="24"/>
          <w:szCs w:val="24"/>
          <w:lang w:val="bg-BG"/>
        </w:rPr>
        <w:t xml:space="preserve"> ;</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Финансова 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за банките извън SWIFT системата, IBAN или номера на сметката на бенефициента. Посочва се и адрес на кандидатстващата организация на латиница</w:t>
      </w:r>
      <w:r>
        <w:rPr>
          <w:rFonts w:hint="default" w:ascii="Times New Roman" w:hAnsi="Times New Roman" w:cs="Times New Roman"/>
          <w:sz w:val="24"/>
          <w:szCs w:val="24"/>
          <w:lang w:val="bg-BG"/>
        </w:rPr>
        <w:t xml:space="preserve"> ;</w:t>
      </w:r>
    </w:p>
    <w:p>
      <w:pPr>
        <w:spacing w:after="0" w:line="360" w:lineRule="auto"/>
        <w:ind w:firstLine="720"/>
        <w:jc w:val="both"/>
        <w:rPr>
          <w:rFonts w:hint="default" w:ascii="Times New Roman" w:hAnsi="Times New Roman" w:cs="Times New Roman"/>
          <w:sz w:val="24"/>
          <w:szCs w:val="24"/>
          <w:lang w:val="bg-BG"/>
        </w:rPr>
      </w:pPr>
      <w:r>
        <w:rPr>
          <w:rFonts w:ascii="Times New Roman" w:hAnsi="Times New Roman" w:cs="Times New Roman"/>
          <w:sz w:val="24"/>
          <w:szCs w:val="24"/>
          <w:lang w:val="bg-BG"/>
        </w:rPr>
        <w:t>- Писмо 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w:t>
      </w:r>
      <w:r>
        <w:rPr>
          <w:rFonts w:hint="default" w:ascii="Times New Roman" w:hAnsi="Times New Roman" w:cs="Times New Roman"/>
          <w:sz w:val="24"/>
          <w:szCs w:val="24"/>
          <w:lang w:val="bg-BG"/>
        </w:rPr>
        <w:t xml:space="preserve"> ;</w:t>
      </w:r>
    </w:p>
    <w:p>
      <w:pPr>
        <w:spacing w:after="0" w:line="360" w:lineRule="auto"/>
        <w:jc w:val="both"/>
        <w:rPr>
          <w:rFonts w:hint="default"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Декларация от бенефициента, в случай че кандидатства само за дейност по т. 11.2. в частта обучение по история на България и география на България и/или за дейност по т. 11.3., че децата/учениците, включени в обучението по история и цивилизации и география 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 (свободен текст)</w:t>
      </w:r>
      <w:r>
        <w:rPr>
          <w:rFonts w:hint="default" w:ascii="Times New Roman" w:hAnsi="Times New Roman" w:cs="Times New Roman"/>
          <w:sz w:val="24"/>
          <w:szCs w:val="24"/>
          <w:lang w:val="bg-BG"/>
        </w:rPr>
        <w:t xml:space="preserve"> ;</w:t>
      </w:r>
    </w:p>
    <w:p>
      <w:pPr>
        <w:spacing w:after="0" w:line="360" w:lineRule="auto"/>
        <w:jc w:val="both"/>
        <w:rPr>
          <w:rFonts w:hint="default"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 Декларация, че дейностите, за които бенефициентът кандидатства, не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w:t>
      </w:r>
      <w:r>
        <w:rPr>
          <w:rFonts w:hint="default" w:ascii="Times New Roman" w:hAnsi="Times New Roman" w:cs="Times New Roman"/>
          <w:sz w:val="24"/>
          <w:szCs w:val="24"/>
          <w:lang w:val="bg-BG"/>
        </w:rPr>
        <w:t>.</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Всички необходими документи се предоставят на български език. В случай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 който се представя в официален превод.</w:t>
      </w:r>
    </w:p>
    <w:p>
      <w:pPr>
        <w:spacing w:after="0" w:line="360" w:lineRule="auto"/>
        <w:ind w:firstLine="720"/>
        <w:jc w:val="both"/>
        <w:rPr>
          <w:rFonts w:ascii="Times New Roman" w:hAnsi="Times New Roman" w:cs="Times New Roman"/>
          <w:sz w:val="24"/>
          <w:szCs w:val="24"/>
          <w:lang w:val="bg-BG"/>
        </w:rPr>
      </w:pPr>
    </w:p>
    <w:p>
      <w:pPr>
        <w:spacing w:after="0" w:line="360" w:lineRule="auto"/>
        <w:jc w:val="both"/>
        <w:rPr>
          <w:rFonts w:hint="default" w:ascii="Times New Roman" w:hAnsi="Times New Roman" w:cs="Times New Roman"/>
          <w:b/>
          <w:iCs/>
          <w:sz w:val="24"/>
          <w:szCs w:val="24"/>
          <w:lang w:val="bg-BG"/>
        </w:rPr>
      </w:pPr>
      <w:bookmarkStart w:id="14" w:name="_Hlk156934021"/>
      <w:r>
        <w:rPr>
          <w:rFonts w:ascii="Times New Roman" w:hAnsi="Times New Roman" w:cs="Times New Roman"/>
          <w:b/>
          <w:iCs/>
          <w:sz w:val="24"/>
          <w:szCs w:val="24"/>
          <w:lang w:val="bg-BG"/>
        </w:rPr>
        <w:t>Модул 2 „Квалификация на учители в българските неделни училища в чужбина“</w:t>
      </w:r>
      <w:r>
        <w:rPr>
          <w:rFonts w:hint="default" w:ascii="Times New Roman" w:hAnsi="Times New Roman" w:cs="Times New Roman"/>
          <w:b/>
          <w:iCs/>
          <w:sz w:val="24"/>
          <w:szCs w:val="24"/>
          <w:lang w:val="bg-BG"/>
        </w:rPr>
        <w:t xml:space="preserve"> :</w:t>
      </w:r>
    </w:p>
    <w:bookmarkEnd w:id="14"/>
    <w:p>
      <w:pPr>
        <w:tabs>
          <w:tab w:val="left" w:pos="0"/>
          <w:tab w:val="left" w:pos="426"/>
          <w:tab w:val="left" w:pos="567"/>
        </w:tabs>
        <w:spacing w:after="0" w:line="360" w:lineRule="auto"/>
        <w:ind w:right="141" w:firstLine="709"/>
        <w:jc w:val="both"/>
        <w:rPr>
          <w:rFonts w:ascii="Times New Roman" w:hAnsi="Times New Roman" w:eastAsia="Times New Roman" w:cs="Times New Roman"/>
          <w:sz w:val="24"/>
          <w:szCs w:val="24"/>
          <w:lang w:val="bg-BG" w:eastAsia="bg-BG"/>
        </w:rPr>
      </w:pPr>
      <w:r>
        <w:rPr>
          <w:rFonts w:ascii="Times New Roman" w:hAnsi="Times New Roman" w:cs="Times New Roman"/>
          <w:b/>
          <w:bCs/>
          <w:sz w:val="24"/>
          <w:szCs w:val="24"/>
          <w:lang w:val="bg-BG"/>
        </w:rPr>
        <w:tab/>
      </w:r>
      <w:r>
        <w:rPr>
          <w:rFonts w:ascii="Times New Roman" w:hAnsi="Times New Roman" w:eastAsia="Times New Roman" w:cs="Times New Roman"/>
          <w:sz w:val="24"/>
          <w:szCs w:val="24"/>
          <w:lang w:val="bg-BG" w:eastAsia="bg-BG"/>
        </w:rPr>
        <w:t xml:space="preserve">МОН сключва споразумения за сътрудничество с ДВУ, допустими бенефициенти по Модул 2. </w:t>
      </w:r>
    </w:p>
    <w:p>
      <w:pPr>
        <w:tabs>
          <w:tab w:val="left" w:pos="0"/>
          <w:tab w:val="left" w:pos="426"/>
          <w:tab w:val="left" w:pos="567"/>
        </w:tabs>
        <w:spacing w:after="0" w:line="360" w:lineRule="auto"/>
        <w:ind w:right="141" w:firstLine="709"/>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ДВУ представят конкретна програма за провеждане на дългосрочните курсове</w:t>
      </w:r>
      <w:r>
        <w:t xml:space="preserve"> </w:t>
      </w:r>
      <w:r>
        <w:rPr>
          <w:rFonts w:ascii="Times New Roman" w:hAnsi="Times New Roman" w:eastAsia="Times New Roman" w:cs="Times New Roman"/>
          <w:sz w:val="24"/>
          <w:szCs w:val="24"/>
          <w:lang w:val="bg-BG" w:eastAsia="bg-BG"/>
        </w:rPr>
        <w:t>за следдипломна квалификация на преподаващите български език в чужбина.</w:t>
      </w:r>
    </w:p>
    <w:p>
      <w:pPr>
        <w:tabs>
          <w:tab w:val="left" w:pos="0"/>
          <w:tab w:val="left" w:pos="426"/>
          <w:tab w:val="left" w:pos="567"/>
        </w:tabs>
        <w:spacing w:after="0" w:line="360" w:lineRule="auto"/>
        <w:ind w:right="141"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МОН предоставя на БНУ в чужбина информация за ДВУ, които имат сключени споразумения с МОН за провеждане на курсовете – тема, планиран период на провеждане, програма и координати за подаване на заявления за включване в конкретен курс. </w:t>
      </w:r>
    </w:p>
    <w:p>
      <w:pPr>
        <w:tabs>
          <w:tab w:val="left" w:pos="0"/>
          <w:tab w:val="left" w:pos="426"/>
          <w:tab w:val="left" w:pos="567"/>
        </w:tabs>
        <w:spacing w:after="0" w:line="360" w:lineRule="auto"/>
        <w:ind w:right="141"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Заявлението за включване </w:t>
      </w:r>
      <w:r>
        <w:rPr>
          <w:rFonts w:hint="default" w:ascii="Times New Roman" w:hAnsi="Times New Roman" w:eastAsia="Times New Roman" w:cs="Times New Roman"/>
          <w:sz w:val="24"/>
          <w:szCs w:val="24"/>
          <w:lang w:val="bg-BG" w:eastAsia="bg-BG"/>
        </w:rPr>
        <w:t>на</w:t>
      </w:r>
      <w:r>
        <w:rPr>
          <w:rFonts w:hint="default" w:ascii="Times New Roman" w:hAnsi="Times New Roman" w:eastAsia="Times New Roman" w:cs="Times New Roman"/>
          <w:sz w:val="24"/>
          <w:szCs w:val="24"/>
          <w:lang w:val="en-US" w:eastAsia="bg-BG"/>
        </w:rPr>
        <w:t xml:space="preserve"> </w:t>
      </w:r>
      <w:r>
        <w:rPr>
          <w:rFonts w:ascii="Times New Roman" w:hAnsi="Times New Roman" w:eastAsia="Times New Roman" w:cs="Times New Roman"/>
          <w:sz w:val="24"/>
          <w:szCs w:val="24"/>
          <w:lang w:val="bg-BG" w:eastAsia="bg-BG"/>
        </w:rPr>
        <w:t>дългосрочен курс за следдипломна квалификация се подава от кандидата до съответното ДВУ. Съгласува се от представляващия организацията, към която функционира българското неделно училище в чужбина.</w:t>
      </w:r>
    </w:p>
    <w:p>
      <w:pPr>
        <w:tabs>
          <w:tab w:val="left" w:pos="0"/>
          <w:tab w:val="left" w:pos="426"/>
          <w:tab w:val="left" w:pos="567"/>
        </w:tabs>
        <w:spacing w:after="0" w:line="360" w:lineRule="auto"/>
        <w:ind w:right="141"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ДВУ съгласуват списъците на одобрените кандидати за включване във всяка планирана група с МОН. </w:t>
      </w:r>
    </w:p>
    <w:p>
      <w:pPr>
        <w:tabs>
          <w:tab w:val="left" w:pos="0"/>
        </w:tabs>
        <w:spacing w:after="0" w:line="360" w:lineRule="auto"/>
        <w:rPr>
          <w:rFonts w:ascii="Times New Roman" w:hAnsi="Times New Roman" w:eastAsia="Times New Roman" w:cs="Times New Roman"/>
          <w:b/>
          <w:iCs/>
          <w:sz w:val="24"/>
          <w:szCs w:val="24"/>
          <w:u w:val="single"/>
          <w:lang w:val="bg-BG" w:eastAsia="bg-BG"/>
        </w:rPr>
      </w:pPr>
      <w:bookmarkStart w:id="15" w:name="_Hlk156981423"/>
    </w:p>
    <w:p>
      <w:pPr>
        <w:tabs>
          <w:tab w:val="left" w:pos="0"/>
        </w:tabs>
        <w:spacing w:after="0" w:line="360" w:lineRule="auto"/>
        <w:jc w:val="both"/>
        <w:rPr>
          <w:rFonts w:hint="default" w:ascii="Times New Roman" w:hAnsi="Times New Roman" w:eastAsia="Times New Roman" w:cs="Times New Roman"/>
          <w:b/>
          <w:iCs/>
          <w:sz w:val="24"/>
          <w:szCs w:val="24"/>
          <w:lang w:val="en-US" w:eastAsia="bg-BG"/>
        </w:rPr>
      </w:pPr>
      <w:r>
        <w:rPr>
          <w:rFonts w:ascii="Times New Roman" w:hAnsi="Times New Roman" w:eastAsia="Times New Roman" w:cs="Times New Roman"/>
          <w:b/>
          <w:iCs/>
          <w:sz w:val="24"/>
          <w:szCs w:val="24"/>
          <w:lang w:val="bg-BG" w:eastAsia="bg-BG"/>
        </w:rPr>
        <w:t>Модул 3 „Обмен на добри практики и създаване на образователни ресурси за обучението, организирано в чужбина“</w:t>
      </w:r>
      <w:r>
        <w:rPr>
          <w:rFonts w:hint="default" w:ascii="Times New Roman" w:hAnsi="Times New Roman" w:eastAsia="Times New Roman" w:cs="Times New Roman"/>
          <w:b/>
          <w:iCs/>
          <w:sz w:val="24"/>
          <w:szCs w:val="24"/>
          <w:lang w:val="en-US" w:eastAsia="bg-BG"/>
        </w:rPr>
        <w:t xml:space="preserve"> :</w:t>
      </w:r>
    </w:p>
    <w:bookmarkEnd w:id="15"/>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Мотивирани предложенията по Модул 3 се подават в два етапа чрез електронната система </w:t>
      </w:r>
      <w:r>
        <w:fldChar w:fldCharType="begin"/>
      </w:r>
      <w:r>
        <w:instrText xml:space="preserve"> HYPERLINK "https://world.mon.bg/" </w:instrText>
      </w:r>
      <w:r>
        <w:fldChar w:fldCharType="separate"/>
      </w:r>
      <w:r>
        <w:rPr>
          <w:rStyle w:val="6"/>
          <w:rFonts w:ascii="Times New Roman" w:hAnsi="Times New Roman" w:cs="Times New Roman"/>
          <w:color w:val="auto"/>
          <w:sz w:val="24"/>
          <w:szCs w:val="24"/>
          <w:lang w:val="bg-BG"/>
        </w:rPr>
        <w:t>https://world.mon.bg/</w:t>
      </w:r>
      <w:r>
        <w:rPr>
          <w:rStyle w:val="6"/>
          <w:rFonts w:ascii="Times New Roman" w:hAnsi="Times New Roman" w:cs="Times New Roman"/>
          <w:color w:val="auto"/>
          <w:sz w:val="24"/>
          <w:szCs w:val="24"/>
          <w:lang w:val="bg-BG"/>
        </w:rPr>
        <w:fldChar w:fldCharType="end"/>
      </w:r>
      <w:r>
        <w:rPr>
          <w:rFonts w:ascii="Times New Roman" w:hAnsi="Times New Roman" w:cs="Times New Roman"/>
          <w:sz w:val="24"/>
          <w:szCs w:val="24"/>
          <w:lang w:val="bg-BG"/>
        </w:rPr>
        <w:t>:</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b/>
          <w:bCs/>
          <w:sz w:val="24"/>
          <w:szCs w:val="24"/>
          <w:lang w:val="bg-BG"/>
        </w:rPr>
        <w:t>- Етап 1</w:t>
      </w:r>
      <w:r>
        <w:rPr>
          <w:rFonts w:ascii="Times New Roman" w:hAnsi="Times New Roman" w:cs="Times New Roman"/>
          <w:sz w:val="24"/>
          <w:szCs w:val="24"/>
          <w:lang w:val="bg-BG"/>
        </w:rPr>
        <w:t xml:space="preserve"> – в срок от 30 календарни дни след публикуването на програмата на електронната страница на МОН;</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Етап 2 </w:t>
      </w:r>
      <w:r>
        <w:rPr>
          <w:rFonts w:ascii="Times New Roman" w:hAnsi="Times New Roman" w:cs="Times New Roman"/>
          <w:sz w:val="24"/>
          <w:szCs w:val="24"/>
          <w:lang w:val="bg-BG"/>
        </w:rPr>
        <w:t xml:space="preserve">– от 01 септември до 15 октомври 2024 г. </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За обмен на добри практики се посочва наименование на събитието, период и място на реализиране на дейностите, индикативен бюджет, обхват и цел. Допуска се провеждане в електронна среда от разстояние.</w:t>
      </w:r>
    </w:p>
    <w:p>
      <w:pPr>
        <w:spacing w:after="0"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За изготвяне на образователни ресурси за обучението, организирано в чужбина, се посочва видът на крайния продукт, мотиви за създаването му, приложимост в БНУ в чужбина, екип за реализация на дейността и индикативен бюджет. </w:t>
      </w:r>
    </w:p>
    <w:p>
      <w:pPr>
        <w:spacing w:after="0" w:line="360" w:lineRule="auto"/>
        <w:jc w:val="both"/>
        <w:rPr>
          <w:rFonts w:ascii="Times New Roman" w:hAnsi="Times New Roman" w:cs="Times New Roman"/>
          <w:sz w:val="24"/>
          <w:szCs w:val="24"/>
          <w:lang w:val="bg-BG"/>
        </w:rPr>
      </w:pPr>
    </w:p>
    <w:p>
      <w:pPr>
        <w:tabs>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14. ПРОЦЕДУРА ЗА РАЗГЛЕЖДАНЕ И ОДОБРЕНИЕ НА ПРОЕКТНИТЕ ПРЕДЛОЖЕНИЯ</w:t>
      </w:r>
    </w:p>
    <w:p>
      <w:pPr>
        <w:spacing w:after="0" w:line="360" w:lineRule="auto"/>
        <w:jc w:val="both"/>
        <w:rPr>
          <w:rFonts w:hint="default" w:ascii="Times New Roman" w:hAnsi="Times New Roman" w:cs="Times New Roman"/>
          <w:b/>
          <w:bCs/>
          <w:sz w:val="24"/>
          <w:szCs w:val="24"/>
          <w:lang w:val="bg-BG"/>
        </w:rPr>
      </w:pPr>
      <w:bookmarkStart w:id="16" w:name="_Hlk156914010"/>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bookmarkEnd w:id="16"/>
      <w:r>
        <w:rPr>
          <w:rFonts w:hint="default" w:ascii="Times New Roman" w:hAnsi="Times New Roman" w:cs="Times New Roman"/>
          <w:b/>
          <w:bCs/>
          <w:sz w:val="24"/>
          <w:szCs w:val="24"/>
          <w:lang w:val="bg-BG"/>
        </w:rPr>
        <w:t xml:space="preserve"> :</w:t>
      </w:r>
    </w:p>
    <w:p>
      <w:pPr>
        <w:tabs>
          <w:tab w:val="left" w:pos="0"/>
          <w:tab w:val="left" w:pos="426"/>
          <w:tab w:val="left" w:pos="567"/>
        </w:tabs>
        <w:spacing w:after="0" w:line="360" w:lineRule="auto"/>
        <w:ind w:right="-2"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xml:space="preserve">Разглеждането и оценяването на проектите се извършват от Междуведомствена комисия по въпросите на БНУ в чужбина, определена със заповед на министъра на образованието и науката, с участието на представители на МОН, Министерството на външните работи, Министерството на културата и Изпълнителната агенция за българите в чужбина (Междуведомствена комисия) по реда на до 45 работни дни след крайния срок за подаване на проектите. </w:t>
      </w:r>
    </w:p>
    <w:p>
      <w:pPr>
        <w:tabs>
          <w:tab w:val="left" w:pos="0"/>
          <w:tab w:val="left" w:pos="426"/>
          <w:tab w:val="left" w:pos="567"/>
        </w:tabs>
        <w:spacing w:after="0" w:line="360" w:lineRule="auto"/>
        <w:ind w:right="-2" w:firstLine="708"/>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 обучение по български език  и литература, история и география на България, подпомагано от МОН. Информацията се съгласува с ръководителите на задграничните представителства и се представя на министъра на образованието и науката. </w:t>
      </w:r>
    </w:p>
    <w:p>
      <w:pPr>
        <w:tabs>
          <w:tab w:val="left" w:pos="0"/>
        </w:tabs>
        <w:spacing w:after="0" w:line="360" w:lineRule="auto"/>
        <w:ind w:right="-2"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При необходимост Междуведомствената комисия може да прави корекции на заложените в проектите суми  в съответствие с посочените изисквания в националната програма. При невъзможност да бъдат финансирани всички дейности по одобрените проекти приоритетно се финансират дейностите по т. 11.1. и т. 11.2.</w:t>
      </w:r>
    </w:p>
    <w:p>
      <w:pPr>
        <w:tabs>
          <w:tab w:val="left" w:pos="0"/>
          <w:tab w:val="left" w:pos="426"/>
          <w:tab w:val="left" w:pos="567"/>
        </w:tabs>
        <w:spacing w:after="0" w:line="360" w:lineRule="auto"/>
        <w:ind w:right="-2" w:firstLine="709"/>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Може да не бъде финансиран проект, в който е предвидено дейностите да се изпълняват в населени места, административно-териториални единици в населени места и райони, в които осъществява дейност друго българско неделно училище, финансирано от МОН.</w:t>
      </w:r>
    </w:p>
    <w:p>
      <w:pPr>
        <w:tabs>
          <w:tab w:val="left" w:pos="0"/>
          <w:tab w:val="left" w:pos="426"/>
          <w:tab w:val="left" w:pos="567"/>
        </w:tabs>
        <w:spacing w:after="0" w:line="360" w:lineRule="auto"/>
        <w:ind w:right="-2" w:firstLine="720"/>
        <w:jc w:val="both"/>
        <w:rPr>
          <w:rFonts w:ascii="Times New Roman" w:hAnsi="Times New Roman" w:eastAsia="Times New Roman" w:cs="Times New Roman"/>
          <w:b/>
          <w:sz w:val="24"/>
          <w:szCs w:val="24"/>
          <w:lang w:val="bg-BG" w:eastAsia="bg-BG"/>
        </w:rPr>
      </w:pPr>
      <w:r>
        <w:rPr>
          <w:rFonts w:ascii="Times New Roman" w:hAnsi="Times New Roman" w:eastAsia="Times New Roman" w:cs="Times New Roman"/>
          <w:sz w:val="24"/>
          <w:szCs w:val="24"/>
          <w:lang w:val="bg-BG" w:eastAsia="bg-BG"/>
        </w:rPr>
        <w:t>Не се допуска финансиране на проекти по Модул 1 на кандидати,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pPr>
        <w:tabs>
          <w:tab w:val="left" w:pos="0"/>
        </w:tabs>
        <w:spacing w:after="0" w:line="360" w:lineRule="auto"/>
        <w:ind w:right="-2"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Информацията за одобрените проекти се публикува на електронната страница на МОН. </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Средствата по одобрените проекти се превеждат на бенефициентите по банков път, след като потвърдят финансовата идентификация на банковата сметка на посочените в електронната страница на МОН електронни адреси. </w:t>
      </w:r>
    </w:p>
    <w:p>
      <w:pPr>
        <w:tabs>
          <w:tab w:val="left" w:pos="0"/>
          <w:tab w:val="left" w:pos="426"/>
          <w:tab w:val="left" w:pos="567"/>
        </w:tabs>
        <w:spacing w:after="0" w:line="360" w:lineRule="auto"/>
        <w:ind w:firstLine="709"/>
        <w:jc w:val="both"/>
        <w:rPr>
          <w:rFonts w:ascii="Times New Roman" w:hAnsi="Times New Roman" w:eastAsia="Times New Roman" w:cs="Times New Roman"/>
          <w:bCs/>
          <w:sz w:val="24"/>
          <w:szCs w:val="24"/>
          <w:lang w:val="bg-BG" w:eastAsia="bg-BG"/>
        </w:rPr>
      </w:pPr>
      <w:bookmarkStart w:id="17" w:name="_Hlk156981446"/>
      <w:r>
        <w:rPr>
          <w:rFonts w:ascii="Times New Roman" w:hAnsi="Times New Roman" w:eastAsia="Times New Roman" w:cs="Times New Roman"/>
          <w:bCs/>
          <w:sz w:val="24"/>
          <w:szCs w:val="24"/>
          <w:lang w:val="bg-BG" w:eastAsia="bg-BG"/>
        </w:rPr>
        <w:t>Критерии при оценяване на проектите:</w:t>
      </w:r>
    </w:p>
    <w:p>
      <w:pPr>
        <w:tabs>
          <w:tab w:val="left" w:pos="0"/>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Съответствие на проекта с целите на програмата;</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Целесъобразно и ефективно разпределение на средствата;</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Прилагане на принципа на споделената отговорност в цялостната дейност на бенефициента (налични ресурси, подкрепящи организации и институции).</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p>
    <w:bookmarkEnd w:id="17"/>
    <w:p>
      <w:pPr>
        <w:tabs>
          <w:tab w:val="left" w:pos="0"/>
        </w:tabs>
        <w:spacing w:after="0" w:line="360" w:lineRule="auto"/>
        <w:jc w:val="both"/>
        <w:rPr>
          <w:rFonts w:hint="default" w:ascii="Times New Roman" w:hAnsi="Times New Roman" w:eastAsia="Times New Roman" w:cs="Times New Roman"/>
          <w:b/>
          <w:iCs/>
          <w:sz w:val="24"/>
          <w:szCs w:val="24"/>
          <w:lang w:val="en-US" w:eastAsia="bg-BG"/>
        </w:rPr>
      </w:pPr>
      <w:bookmarkStart w:id="18" w:name="_Hlk156981802"/>
      <w:r>
        <w:rPr>
          <w:rFonts w:ascii="Times New Roman" w:hAnsi="Times New Roman" w:eastAsia="Times New Roman" w:cs="Times New Roman"/>
          <w:b/>
          <w:iCs/>
          <w:sz w:val="24"/>
          <w:szCs w:val="24"/>
          <w:lang w:val="bg-BG" w:eastAsia="bg-BG"/>
        </w:rPr>
        <w:t>Модул 3 „Обмен на добри практики и създаване на образователни ресурси за обучението, организирано в чужбина“</w:t>
      </w:r>
      <w:r>
        <w:rPr>
          <w:rFonts w:hint="default" w:ascii="Times New Roman" w:hAnsi="Times New Roman" w:eastAsia="Times New Roman" w:cs="Times New Roman"/>
          <w:b/>
          <w:iCs/>
          <w:sz w:val="24"/>
          <w:szCs w:val="24"/>
          <w:lang w:val="en-US" w:eastAsia="bg-BG"/>
        </w:rPr>
        <w:t xml:space="preserve"> :</w:t>
      </w:r>
    </w:p>
    <w:bookmarkEnd w:id="18"/>
    <w:p>
      <w:pPr>
        <w:tabs>
          <w:tab w:val="left" w:pos="0"/>
          <w:tab w:val="left" w:pos="426"/>
          <w:tab w:val="left" w:pos="567"/>
        </w:tabs>
        <w:spacing w:after="0" w:line="360" w:lineRule="auto"/>
        <w:ind w:firstLine="709"/>
        <w:jc w:val="both"/>
        <w:rPr>
          <w:rFonts w:ascii="Times New Roman" w:hAnsi="Times New Roman" w:eastAsia="Times New Roman" w:cs="Times New Roman"/>
          <w:bCs/>
          <w:sz w:val="24"/>
          <w:szCs w:val="24"/>
          <w:lang w:val="bg-BG" w:eastAsia="bg-BG"/>
        </w:rPr>
      </w:pPr>
      <w:r>
        <w:rPr>
          <w:rFonts w:ascii="Times New Roman" w:hAnsi="Times New Roman" w:eastAsia="Times New Roman" w:cs="Times New Roman"/>
          <w:bCs/>
          <w:sz w:val="24"/>
          <w:szCs w:val="24"/>
          <w:lang w:val="bg-BG" w:eastAsia="bg-BG"/>
        </w:rPr>
        <w:t>Предложенията се оценяват при отчитане на следните критерии:</w:t>
      </w:r>
    </w:p>
    <w:p>
      <w:pPr>
        <w:tabs>
          <w:tab w:val="left" w:pos="0"/>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Съответствие с целите на програмата;</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Целесъобразно и ефективно разпределение на средствата;</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Прилагане на принципа на споделената отговорност в цялостната дейност на бенефициента (налични ресурси, подкрепящи организации и институции);</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Възможности за приложение и мултиплициране на добрите практики и ресурси в БНУ в чужбина.</w:t>
      </w:r>
    </w:p>
    <w:p>
      <w:pPr>
        <w:tabs>
          <w:tab w:val="left" w:pos="0"/>
          <w:tab w:val="left" w:pos="709"/>
          <w:tab w:val="left" w:pos="1134"/>
          <w:tab w:val="left" w:pos="156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 xml:space="preserve">Списъкът (списъците) на предложенията за финансиране по Модул 3 се одобрява от министъра на образованието и науката и се публикува на електронната страница на МОН. </w:t>
      </w:r>
    </w:p>
    <w:p>
      <w:pPr>
        <w:pStyle w:val="12"/>
        <w:tabs>
          <w:tab w:val="left" w:pos="360"/>
        </w:tabs>
        <w:spacing w:after="0" w:line="360" w:lineRule="auto"/>
        <w:ind w:left="0"/>
        <w:jc w:val="both"/>
        <w:rPr>
          <w:rFonts w:ascii="Times New Roman" w:hAnsi="Times New Roman" w:cs="Times New Roman"/>
          <w:i/>
          <w:iCs/>
          <w:color w:val="2E75B6" w:themeColor="accent5" w:themeShade="BF"/>
          <w:sz w:val="24"/>
          <w:szCs w:val="24"/>
          <w:lang w:val="bg-BG"/>
        </w:rPr>
      </w:pPr>
    </w:p>
    <w:p>
      <w:pPr>
        <w:tabs>
          <w:tab w:val="left" w:pos="360"/>
        </w:tabs>
        <w:spacing w:after="0" w:line="360" w:lineRule="auto"/>
        <w:jc w:val="both"/>
        <w:rPr>
          <w:rFonts w:ascii="Times New Roman" w:hAnsi="Times New Roman" w:cs="Times New Roman"/>
          <w:b/>
          <w:bCs/>
          <w:color w:val="2E75B6" w:themeColor="accent5" w:themeShade="BF"/>
          <w:sz w:val="24"/>
          <w:szCs w:val="24"/>
          <w:lang w:val="bg-BG"/>
        </w:rPr>
      </w:pPr>
      <w:r>
        <w:rPr>
          <w:rFonts w:ascii="Times New Roman" w:hAnsi="Times New Roman" w:cs="Times New Roman"/>
          <w:b/>
          <w:bCs/>
          <w:sz w:val="24"/>
          <w:szCs w:val="24"/>
          <w:lang w:val="bg-BG"/>
        </w:rPr>
        <w:t>15. ОТЧИТАНЕ НА ПРОЕКТИТЕ</w:t>
      </w:r>
    </w:p>
    <w:p>
      <w:pPr>
        <w:spacing w:after="0" w:line="360" w:lineRule="auto"/>
        <w:jc w:val="both"/>
        <w:rPr>
          <w:rFonts w:hint="default" w:ascii="Times New Roman" w:hAnsi="Times New Roman" w:cs="Times New Roman"/>
          <w:b/>
          <w:bCs/>
          <w:sz w:val="24"/>
          <w:szCs w:val="24"/>
          <w:lang w:val="bg-BG"/>
        </w:rPr>
      </w:pPr>
      <w:r>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r>
        <w:rPr>
          <w:rFonts w:hint="default" w:ascii="Times New Roman" w:hAnsi="Times New Roman" w:cs="Times New Roman"/>
          <w:b/>
          <w:bCs/>
          <w:sz w:val="24"/>
          <w:szCs w:val="24"/>
          <w:lang w:val="bg-BG"/>
        </w:rPr>
        <w:t xml:space="preserve"> :</w:t>
      </w:r>
    </w:p>
    <w:p>
      <w:pPr>
        <w:tabs>
          <w:tab w:val="left" w:pos="0"/>
        </w:tabs>
        <w:autoSpaceDE w:val="0"/>
        <w:autoSpaceDN w:val="0"/>
        <w:adjustRightInd w:val="0"/>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Отчитането на предоставените средства по Модул 1, както и условията, при които се допуска прехвърляне на средства от една дейност към друга, се регламентират в Правила за отчитане на дейността и на средствата, предоставени за учебната 2024/2025 година по Национална програма „Роден език и култура зад граница“, одобрени със заповед от министъра на образованието и науката. </w:t>
      </w:r>
    </w:p>
    <w:p>
      <w:pPr>
        <w:tabs>
          <w:tab w:val="left" w:pos="0"/>
        </w:tabs>
        <w:spacing w:after="0" w:line="360" w:lineRule="auto"/>
        <w:ind w:firstLine="720"/>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Бенефициентите в срок до 15.10.2024 г. чрез електронната система представят актуална информация за изпълнението на проекта.</w:t>
      </w:r>
    </w:p>
    <w:p>
      <w:pPr>
        <w:tabs>
          <w:tab w:val="left" w:pos="0"/>
        </w:tabs>
        <w:spacing w:after="0" w:line="360" w:lineRule="auto"/>
        <w:ind w:firstLine="720"/>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Отчет за изпълнението на проекта се представя в МОН чрез електронната система до</w:t>
      </w:r>
      <w:r>
        <w:rPr>
          <w:rFonts w:ascii="Times New Roman" w:hAnsi="Times New Roman" w:eastAsia="Calibri" w:cs="Times New Roman"/>
          <w:i/>
          <w:sz w:val="24"/>
          <w:szCs w:val="24"/>
          <w:lang w:val="bg-BG" w:eastAsia="bg-BG"/>
        </w:rPr>
        <w:t xml:space="preserve"> </w:t>
      </w:r>
      <w:r>
        <w:rPr>
          <w:rFonts w:ascii="Times New Roman" w:hAnsi="Times New Roman" w:eastAsia="Calibri" w:cs="Times New Roman"/>
          <w:sz w:val="24"/>
          <w:szCs w:val="24"/>
          <w:lang w:val="bg-BG" w:eastAsia="bg-BG"/>
        </w:rPr>
        <w:t>31.07.2025</w:t>
      </w:r>
      <w:r>
        <w:rPr>
          <w:rFonts w:ascii="Times New Roman" w:hAnsi="Times New Roman" w:eastAsia="Calibri" w:cs="Times New Roman"/>
          <w:b/>
          <w:sz w:val="24"/>
          <w:szCs w:val="24"/>
          <w:lang w:val="bg-BG" w:eastAsia="bg-BG"/>
        </w:rPr>
        <w:t xml:space="preserve"> </w:t>
      </w:r>
      <w:r>
        <w:rPr>
          <w:rFonts w:ascii="Times New Roman" w:hAnsi="Times New Roman" w:eastAsia="Calibri" w:cs="Times New Roman"/>
          <w:sz w:val="24"/>
          <w:szCs w:val="24"/>
          <w:lang w:val="bg-BG" w:eastAsia="bg-BG"/>
        </w:rPr>
        <w:t xml:space="preserve">г. </w:t>
      </w:r>
      <w:bookmarkStart w:id="19" w:name="_Hlk156982079"/>
      <w:r>
        <w:rPr>
          <w:rFonts w:ascii="Times New Roman" w:hAnsi="Times New Roman" w:eastAsia="Calibri" w:cs="Times New Roman"/>
          <w:sz w:val="24"/>
          <w:szCs w:val="24"/>
          <w:lang w:val="bg-BG" w:eastAsia="bg-BG"/>
        </w:rPr>
        <w:t xml:space="preserve">Отчетът за изпълнението на проекта трябва да съдържа финансова част и съдържателна част (описание на извършените дейности по проекта). </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Невъзстановените от бенефициентите суми (от неизразходвани средства и/или непризнати от Междуведомствената комисията разходи) по проекти от Националната програма „Роден език и култура зад граница“ от минали години се прихващат от плащанията по одобрените проекти на бенефициентите за 2024 година. </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Бенефициенти, които не кандидатстват с проект за учебната 2024/2025 година, са длъжни да възстановят неизразходваните средства и/или сумите от непризнатите разходи по проекта. </w:t>
      </w:r>
    </w:p>
    <w:bookmarkEnd w:id="19"/>
    <w:p>
      <w:pPr>
        <w:tabs>
          <w:tab w:val="left" w:pos="0"/>
        </w:tabs>
        <w:spacing w:after="0" w:line="360" w:lineRule="auto"/>
        <w:ind w:firstLine="720"/>
        <w:jc w:val="both"/>
        <w:rPr>
          <w:rFonts w:ascii="Times New Roman" w:hAnsi="Times New Roman" w:eastAsia="Times New Roman" w:cs="Times New Roman"/>
          <w:sz w:val="24"/>
          <w:szCs w:val="24"/>
          <w:lang w:val="bg-BG" w:eastAsia="bg-BG"/>
        </w:rPr>
      </w:pPr>
    </w:p>
    <w:p>
      <w:pPr>
        <w:spacing w:after="0" w:line="360" w:lineRule="auto"/>
        <w:jc w:val="center"/>
        <w:rPr>
          <w:rFonts w:hint="default" w:ascii="Times New Roman" w:hAnsi="Times New Roman" w:cs="Times New Roman"/>
          <w:b/>
          <w:iCs/>
          <w:sz w:val="24"/>
          <w:szCs w:val="24"/>
          <w:lang w:val="bg-BG"/>
        </w:rPr>
      </w:pPr>
      <w:r>
        <w:rPr>
          <w:rFonts w:ascii="Times New Roman" w:hAnsi="Times New Roman" w:cs="Times New Roman"/>
          <w:b/>
          <w:iCs/>
          <w:sz w:val="24"/>
          <w:szCs w:val="24"/>
          <w:lang w:val="bg-BG"/>
        </w:rPr>
        <w:t>Модул 2 „Квалификация на учители в българските неделни училища в чужбина“</w:t>
      </w:r>
      <w:r>
        <w:rPr>
          <w:rFonts w:hint="default" w:ascii="Times New Roman" w:hAnsi="Times New Roman" w:cs="Times New Roman"/>
          <w:b/>
          <w:iCs/>
          <w:sz w:val="24"/>
          <w:szCs w:val="24"/>
          <w:lang w:val="bg-BG"/>
        </w:rPr>
        <w:t xml:space="preserve"> :</w:t>
      </w:r>
    </w:p>
    <w:p>
      <w:pPr>
        <w:tabs>
          <w:tab w:val="left" w:pos="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ДВУ отчитат изпълнението на дейностите и извършените разходи съгласно сроковете, посочени в споразуменията, но не по-късно от 31.08.2025 г. Неотчетените средства и средствата от непризнати разходи се възстановяват по сметка на МОН в срок до 31.10.2025 г.</w:t>
      </w:r>
    </w:p>
    <w:p>
      <w:pPr>
        <w:tabs>
          <w:tab w:val="left" w:pos="0"/>
        </w:tabs>
        <w:spacing w:after="0" w:line="360" w:lineRule="auto"/>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ab/>
      </w:r>
      <w:r>
        <w:rPr>
          <w:rFonts w:ascii="Times New Roman" w:hAnsi="Times New Roman" w:eastAsia="Times New Roman" w:cs="Times New Roman"/>
          <w:sz w:val="24"/>
          <w:szCs w:val="24"/>
          <w:lang w:val="bg-BG" w:eastAsia="bg-BG"/>
        </w:rPr>
        <w:t>Отчитането на предоставеното финансиране се извършва съгласно Правила за отчитане на дейността и на средствата, предоставени по Националната програма „Роден език и култура зад граница“ – 2024 г., утвърдени със заповед на министъра на образованието и науката и сключените споразумения между ДВУ и МОН.</w:t>
      </w:r>
    </w:p>
    <w:p>
      <w:pPr>
        <w:tabs>
          <w:tab w:val="left" w:pos="0"/>
          <w:tab w:val="left" w:pos="426"/>
          <w:tab w:val="left" w:pos="567"/>
        </w:tabs>
        <w:spacing w:after="0" w:line="360" w:lineRule="auto"/>
        <w:ind w:right="-2" w:firstLine="720"/>
        <w:jc w:val="both"/>
        <w:rPr>
          <w:rFonts w:ascii="Times New Roman" w:hAnsi="Times New Roman" w:eastAsia="Times New Roman" w:cs="Times New Roman"/>
          <w:sz w:val="24"/>
          <w:szCs w:val="24"/>
          <w:lang w:val="bg-BG" w:eastAsia="bg-BG"/>
        </w:rPr>
      </w:pPr>
    </w:p>
    <w:p>
      <w:pPr>
        <w:tabs>
          <w:tab w:val="left" w:pos="0"/>
        </w:tabs>
        <w:spacing w:after="0" w:line="360" w:lineRule="auto"/>
        <w:jc w:val="both"/>
        <w:rPr>
          <w:rFonts w:hint="default" w:ascii="Times New Roman" w:hAnsi="Times New Roman" w:eastAsia="Times New Roman" w:cs="Times New Roman"/>
          <w:b/>
          <w:iCs/>
          <w:sz w:val="24"/>
          <w:szCs w:val="24"/>
          <w:lang w:val="en-US" w:eastAsia="bg-BG"/>
        </w:rPr>
      </w:pPr>
      <w:r>
        <w:rPr>
          <w:rFonts w:ascii="Times New Roman" w:hAnsi="Times New Roman" w:eastAsia="Times New Roman" w:cs="Times New Roman"/>
          <w:b/>
          <w:iCs/>
          <w:sz w:val="24"/>
          <w:szCs w:val="24"/>
          <w:lang w:val="bg-BG" w:eastAsia="bg-BG"/>
        </w:rPr>
        <w:t>Модул 3 „Обмен на добри практики и създаване на образователни ресурси за обучението, организирано в чужбина“</w:t>
      </w:r>
      <w:r>
        <w:rPr>
          <w:rFonts w:hint="default" w:ascii="Times New Roman" w:hAnsi="Times New Roman" w:eastAsia="Times New Roman" w:cs="Times New Roman"/>
          <w:b/>
          <w:iCs/>
          <w:sz w:val="24"/>
          <w:szCs w:val="24"/>
          <w:lang w:val="en-US" w:eastAsia="bg-BG"/>
        </w:rPr>
        <w:t xml:space="preserve"> :</w:t>
      </w:r>
    </w:p>
    <w:p>
      <w:pPr>
        <w:tabs>
          <w:tab w:val="left" w:pos="0"/>
          <w:tab w:val="left" w:pos="640"/>
        </w:tabs>
        <w:spacing w:after="0" w:line="360" w:lineRule="auto"/>
        <w:jc w:val="both"/>
        <w:rPr>
          <w:rFonts w:ascii="Times New Roman" w:hAnsi="Times New Roman" w:eastAsia="Times New Roman" w:cs="Times New Roman"/>
          <w:sz w:val="24"/>
          <w:szCs w:val="24"/>
          <w:lang w:val="bg-BG" w:eastAsia="bg-BG"/>
        </w:rPr>
      </w:pPr>
    </w:p>
    <w:p>
      <w:pPr>
        <w:tabs>
          <w:tab w:val="left" w:pos="0"/>
          <w:tab w:val="left" w:pos="426"/>
          <w:tab w:val="left" w:pos="567"/>
        </w:tabs>
        <w:spacing w:after="0" w:line="360" w:lineRule="auto"/>
        <w:ind w:right="-2"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 xml:space="preserve">Отчитането на предоставеното финансиране се извършва съгласно Правила за отчитане на дейността и на средствата, предоставени по Национална програма „Роден език и култура зад граница“ за 2024 г., утвърдени със заповед на министъра на образованието и науката. </w:t>
      </w:r>
    </w:p>
    <w:p>
      <w:pPr>
        <w:tabs>
          <w:tab w:val="left" w:pos="0"/>
        </w:tabs>
        <w:spacing w:after="0" w:line="360" w:lineRule="auto"/>
        <w:ind w:firstLine="720"/>
        <w:jc w:val="both"/>
        <w:rPr>
          <w:rFonts w:ascii="Times New Roman" w:hAnsi="Times New Roman" w:eastAsia="Calibri" w:cs="Times New Roman"/>
          <w:sz w:val="24"/>
          <w:szCs w:val="24"/>
          <w:lang w:val="bg-BG" w:eastAsia="bg-BG"/>
        </w:rPr>
      </w:pPr>
      <w:r>
        <w:rPr>
          <w:rFonts w:ascii="Times New Roman" w:hAnsi="Times New Roman" w:eastAsia="Calibri" w:cs="Times New Roman"/>
          <w:sz w:val="24"/>
          <w:szCs w:val="24"/>
          <w:lang w:val="bg-BG" w:eastAsia="bg-BG"/>
        </w:rPr>
        <w:t xml:space="preserve">Отчетът трябва да съдържа финансова и съдържателна част (описание на извършените дейности с приложени продукти). </w:t>
      </w:r>
    </w:p>
    <w:p>
      <w:pPr>
        <w:tabs>
          <w:tab w:val="left" w:pos="0"/>
        </w:tabs>
        <w:spacing w:after="0" w:line="360" w:lineRule="auto"/>
        <w:ind w:firstLine="720"/>
        <w:jc w:val="both"/>
        <w:rPr>
          <w:rFonts w:ascii="Times New Roman" w:hAnsi="Times New Roman" w:eastAsia="Times New Roman" w:cs="Times New Roman"/>
          <w:sz w:val="24"/>
          <w:szCs w:val="24"/>
          <w:lang w:val="bg-BG" w:eastAsia="bg-BG"/>
        </w:rPr>
      </w:pPr>
      <w:r>
        <w:rPr>
          <w:rFonts w:ascii="Times New Roman" w:hAnsi="Times New Roman" w:eastAsia="Times New Roman" w:cs="Times New Roman"/>
          <w:sz w:val="24"/>
          <w:szCs w:val="24"/>
          <w:lang w:val="bg-BG" w:eastAsia="bg-BG"/>
        </w:rPr>
        <w:t>Неотчетени средства и/или непризнати разходи се прихващат от следващи плащания за дейността на съответното БНУ в чужбина. В случай, че БНУ в чужбина, което е към организацията – бенефициент по Модул 3</w:t>
      </w:r>
      <w:r>
        <w:rPr>
          <w:rFonts w:hint="default" w:ascii="Times New Roman" w:hAnsi="Times New Roman" w:eastAsia="Times New Roman" w:cs="Times New Roman"/>
          <w:sz w:val="24"/>
          <w:szCs w:val="24"/>
          <w:lang w:val="en-US" w:eastAsia="bg-BG"/>
        </w:rPr>
        <w:t>,</w:t>
      </w:r>
      <w:bookmarkStart w:id="20" w:name="_GoBack"/>
      <w:bookmarkEnd w:id="20"/>
      <w:r>
        <w:rPr>
          <w:rFonts w:ascii="Times New Roman" w:hAnsi="Times New Roman" w:eastAsia="Times New Roman" w:cs="Times New Roman"/>
          <w:sz w:val="24"/>
          <w:szCs w:val="24"/>
          <w:lang w:val="bg-BG" w:eastAsia="bg-BG"/>
        </w:rPr>
        <w:t xml:space="preserve"> прекрати своята дейност – средствата се възстановяват по сметка на МОН. </w:t>
      </w:r>
    </w:p>
    <w:sectPr>
      <w:footerReference r:id="rId5" w:type="default"/>
      <w:pgSz w:w="12240" w:h="15840"/>
      <w:pgMar w:top="720" w:right="1417" w:bottom="720" w:left="1417" w:header="360" w:footer="12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3278327"/>
      <w:docPartObj>
        <w:docPartGallery w:val="AutoText"/>
      </w:docPartObj>
    </w:sdtPr>
    <w:sdtContent>
      <w:p>
        <w:pPr>
          <w:pStyle w:val="4"/>
          <w:jc w:val="right"/>
        </w:pPr>
        <w:r>
          <w:fldChar w:fldCharType="begin"/>
        </w:r>
        <w:r>
          <w:instrText xml:space="preserve"> PAGE   \* MERGEFORMAT </w:instrText>
        </w:r>
        <w:r>
          <w:fldChar w:fldCharType="separate"/>
        </w:r>
        <w:r>
          <w:t>2</w:t>
        </w:r>
        <w:r>
          <w:fldChar w:fldCharType="end"/>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42CCD"/>
    <w:multiLevelType w:val="multilevel"/>
    <w:tmpl w:val="0A342CCD"/>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939" w:hanging="360"/>
      </w:pPr>
      <w:rPr>
        <w:rFonts w:hint="default" w:ascii="Courier New" w:hAnsi="Courier New" w:cs="Courier New"/>
      </w:rPr>
    </w:lvl>
    <w:lvl w:ilvl="2" w:tentative="0">
      <w:start w:val="1"/>
      <w:numFmt w:val="bullet"/>
      <w:lvlText w:val=""/>
      <w:lvlJc w:val="left"/>
      <w:pPr>
        <w:ind w:left="1659" w:hanging="360"/>
      </w:pPr>
      <w:rPr>
        <w:rFonts w:hint="default" w:ascii="Wingdings" w:hAnsi="Wingdings"/>
      </w:rPr>
    </w:lvl>
    <w:lvl w:ilvl="3" w:tentative="0">
      <w:start w:val="1"/>
      <w:numFmt w:val="bullet"/>
      <w:lvlText w:val=""/>
      <w:lvlJc w:val="left"/>
      <w:pPr>
        <w:ind w:left="2379" w:hanging="360"/>
      </w:pPr>
      <w:rPr>
        <w:rFonts w:hint="default" w:ascii="Symbol" w:hAnsi="Symbol"/>
      </w:rPr>
    </w:lvl>
    <w:lvl w:ilvl="4" w:tentative="0">
      <w:start w:val="1"/>
      <w:numFmt w:val="bullet"/>
      <w:lvlText w:val="o"/>
      <w:lvlJc w:val="left"/>
      <w:pPr>
        <w:ind w:left="3099" w:hanging="360"/>
      </w:pPr>
      <w:rPr>
        <w:rFonts w:hint="default" w:ascii="Courier New" w:hAnsi="Courier New" w:cs="Courier New"/>
      </w:rPr>
    </w:lvl>
    <w:lvl w:ilvl="5" w:tentative="0">
      <w:start w:val="1"/>
      <w:numFmt w:val="bullet"/>
      <w:lvlText w:val=""/>
      <w:lvlJc w:val="left"/>
      <w:pPr>
        <w:ind w:left="3819" w:hanging="360"/>
      </w:pPr>
      <w:rPr>
        <w:rFonts w:hint="default" w:ascii="Wingdings" w:hAnsi="Wingdings"/>
      </w:rPr>
    </w:lvl>
    <w:lvl w:ilvl="6" w:tentative="0">
      <w:start w:val="1"/>
      <w:numFmt w:val="bullet"/>
      <w:lvlText w:val=""/>
      <w:lvlJc w:val="left"/>
      <w:pPr>
        <w:ind w:left="4539" w:hanging="360"/>
      </w:pPr>
      <w:rPr>
        <w:rFonts w:hint="default" w:ascii="Symbol" w:hAnsi="Symbol"/>
      </w:rPr>
    </w:lvl>
    <w:lvl w:ilvl="7" w:tentative="0">
      <w:start w:val="1"/>
      <w:numFmt w:val="bullet"/>
      <w:lvlText w:val="o"/>
      <w:lvlJc w:val="left"/>
      <w:pPr>
        <w:ind w:left="5259" w:hanging="360"/>
      </w:pPr>
      <w:rPr>
        <w:rFonts w:hint="default" w:ascii="Courier New" w:hAnsi="Courier New" w:cs="Courier New"/>
      </w:rPr>
    </w:lvl>
    <w:lvl w:ilvl="8" w:tentative="0">
      <w:start w:val="1"/>
      <w:numFmt w:val="bullet"/>
      <w:lvlText w:val=""/>
      <w:lvlJc w:val="left"/>
      <w:pPr>
        <w:ind w:left="5979" w:hanging="360"/>
      </w:pPr>
      <w:rPr>
        <w:rFonts w:hint="default" w:ascii="Wingdings" w:hAnsi="Wingdings"/>
      </w:rPr>
    </w:lvl>
  </w:abstractNum>
  <w:abstractNum w:abstractNumId="1">
    <w:nsid w:val="104E26F4"/>
    <w:multiLevelType w:val="multilevel"/>
    <w:tmpl w:val="104E26F4"/>
    <w:lvl w:ilvl="0" w:tentative="0">
      <w:start w:val="1"/>
      <w:numFmt w:val="bullet"/>
      <w:lvlText w:val=""/>
      <w:lvlJc w:val="left"/>
      <w:pPr>
        <w:ind w:left="3936" w:hanging="360"/>
      </w:pPr>
      <w:rPr>
        <w:rFonts w:hint="default" w:ascii="Symbol" w:hAnsi="Symbol"/>
      </w:rPr>
    </w:lvl>
    <w:lvl w:ilvl="1" w:tentative="0">
      <w:start w:val="1"/>
      <w:numFmt w:val="bullet"/>
      <w:lvlText w:val="o"/>
      <w:lvlJc w:val="left"/>
      <w:pPr>
        <w:ind w:left="3948" w:hanging="360"/>
      </w:pPr>
      <w:rPr>
        <w:rFonts w:hint="default" w:ascii="Courier New" w:hAnsi="Courier New" w:cs="Courier New"/>
      </w:rPr>
    </w:lvl>
    <w:lvl w:ilvl="2" w:tentative="0">
      <w:start w:val="1"/>
      <w:numFmt w:val="bullet"/>
      <w:lvlText w:val=""/>
      <w:lvlJc w:val="left"/>
      <w:pPr>
        <w:ind w:left="4668" w:hanging="360"/>
      </w:pPr>
      <w:rPr>
        <w:rFonts w:hint="default" w:ascii="Wingdings" w:hAnsi="Wingdings"/>
      </w:rPr>
    </w:lvl>
    <w:lvl w:ilvl="3" w:tentative="0">
      <w:start w:val="1"/>
      <w:numFmt w:val="bullet"/>
      <w:lvlText w:val=""/>
      <w:lvlJc w:val="left"/>
      <w:pPr>
        <w:ind w:left="5388" w:hanging="360"/>
      </w:pPr>
      <w:rPr>
        <w:rFonts w:hint="default" w:ascii="Symbol" w:hAnsi="Symbol"/>
      </w:rPr>
    </w:lvl>
    <w:lvl w:ilvl="4" w:tentative="0">
      <w:start w:val="1"/>
      <w:numFmt w:val="bullet"/>
      <w:lvlText w:val="o"/>
      <w:lvlJc w:val="left"/>
      <w:pPr>
        <w:ind w:left="6108" w:hanging="360"/>
      </w:pPr>
      <w:rPr>
        <w:rFonts w:hint="default" w:ascii="Courier New" w:hAnsi="Courier New" w:cs="Courier New"/>
      </w:rPr>
    </w:lvl>
    <w:lvl w:ilvl="5" w:tentative="0">
      <w:start w:val="1"/>
      <w:numFmt w:val="bullet"/>
      <w:lvlText w:val=""/>
      <w:lvlJc w:val="left"/>
      <w:pPr>
        <w:ind w:left="6828" w:hanging="360"/>
      </w:pPr>
      <w:rPr>
        <w:rFonts w:hint="default" w:ascii="Wingdings" w:hAnsi="Wingdings"/>
      </w:rPr>
    </w:lvl>
    <w:lvl w:ilvl="6" w:tentative="0">
      <w:start w:val="1"/>
      <w:numFmt w:val="bullet"/>
      <w:lvlText w:val=""/>
      <w:lvlJc w:val="left"/>
      <w:pPr>
        <w:ind w:left="7548" w:hanging="360"/>
      </w:pPr>
      <w:rPr>
        <w:rFonts w:hint="default" w:ascii="Symbol" w:hAnsi="Symbol"/>
      </w:rPr>
    </w:lvl>
    <w:lvl w:ilvl="7" w:tentative="0">
      <w:start w:val="1"/>
      <w:numFmt w:val="bullet"/>
      <w:lvlText w:val="o"/>
      <w:lvlJc w:val="left"/>
      <w:pPr>
        <w:ind w:left="8268" w:hanging="360"/>
      </w:pPr>
      <w:rPr>
        <w:rFonts w:hint="default" w:ascii="Courier New" w:hAnsi="Courier New" w:cs="Courier New"/>
      </w:rPr>
    </w:lvl>
    <w:lvl w:ilvl="8" w:tentative="0">
      <w:start w:val="1"/>
      <w:numFmt w:val="bullet"/>
      <w:lvlText w:val=""/>
      <w:lvlJc w:val="left"/>
      <w:pPr>
        <w:ind w:left="8988" w:hanging="360"/>
      </w:pPr>
      <w:rPr>
        <w:rFonts w:hint="default" w:ascii="Wingdings" w:hAnsi="Wingdings"/>
      </w:rPr>
    </w:lvl>
  </w:abstractNum>
  <w:abstractNum w:abstractNumId="2">
    <w:nsid w:val="17E14211"/>
    <w:multiLevelType w:val="multilevel"/>
    <w:tmpl w:val="17E14211"/>
    <w:lvl w:ilvl="0" w:tentative="0">
      <w:start w:val="1"/>
      <w:numFmt w:val="bullet"/>
      <w:lvlText w:val=""/>
      <w:lvlJc w:val="left"/>
      <w:pPr>
        <w:ind w:left="1353" w:hanging="360"/>
      </w:pPr>
      <w:rPr>
        <w:rFonts w:hint="default" w:ascii="Symbol" w:hAnsi="Symbol"/>
      </w:rPr>
    </w:lvl>
    <w:lvl w:ilvl="1" w:tentative="0">
      <w:start w:val="0"/>
      <w:numFmt w:val="bullet"/>
      <w:lvlText w:val="–"/>
      <w:lvlJc w:val="left"/>
      <w:pPr>
        <w:ind w:left="1722" w:hanging="360"/>
      </w:pPr>
      <w:rPr>
        <w:rFonts w:hint="default" w:ascii="Times New Roman" w:hAnsi="Times New Roman" w:eastAsia="Calibri" w:cs="Times New Roman"/>
      </w:rPr>
    </w:lvl>
    <w:lvl w:ilvl="2" w:tentative="0">
      <w:start w:val="0"/>
      <w:numFmt w:val="bullet"/>
      <w:lvlText w:val="-"/>
      <w:lvlJc w:val="left"/>
      <w:pPr>
        <w:ind w:left="2442" w:hanging="360"/>
      </w:pPr>
      <w:rPr>
        <w:rFonts w:hint="default" w:ascii="Times New Roman" w:hAnsi="Times New Roman" w:eastAsia="Times New Roman" w:cs="Times New Roman"/>
      </w:rPr>
    </w:lvl>
    <w:lvl w:ilvl="3" w:tentative="0">
      <w:start w:val="1"/>
      <w:numFmt w:val="bullet"/>
      <w:lvlText w:val=""/>
      <w:lvlJc w:val="left"/>
      <w:pPr>
        <w:ind w:left="3162" w:hanging="360"/>
      </w:pPr>
      <w:rPr>
        <w:rFonts w:hint="default" w:ascii="Symbol" w:hAnsi="Symbol"/>
      </w:rPr>
    </w:lvl>
    <w:lvl w:ilvl="4" w:tentative="0">
      <w:start w:val="1"/>
      <w:numFmt w:val="bullet"/>
      <w:lvlText w:val="o"/>
      <w:lvlJc w:val="left"/>
      <w:pPr>
        <w:ind w:left="3882" w:hanging="360"/>
      </w:pPr>
      <w:rPr>
        <w:rFonts w:hint="default" w:ascii="Courier New" w:hAnsi="Courier New" w:cs="Courier New"/>
      </w:rPr>
    </w:lvl>
    <w:lvl w:ilvl="5" w:tentative="0">
      <w:start w:val="1"/>
      <w:numFmt w:val="bullet"/>
      <w:lvlText w:val=""/>
      <w:lvlJc w:val="left"/>
      <w:pPr>
        <w:ind w:left="4602" w:hanging="360"/>
      </w:pPr>
      <w:rPr>
        <w:rFonts w:hint="default" w:ascii="Wingdings" w:hAnsi="Wingdings"/>
      </w:rPr>
    </w:lvl>
    <w:lvl w:ilvl="6" w:tentative="0">
      <w:start w:val="1"/>
      <w:numFmt w:val="bullet"/>
      <w:lvlText w:val=""/>
      <w:lvlJc w:val="left"/>
      <w:pPr>
        <w:ind w:left="5322" w:hanging="360"/>
      </w:pPr>
      <w:rPr>
        <w:rFonts w:hint="default" w:ascii="Symbol" w:hAnsi="Symbol"/>
      </w:rPr>
    </w:lvl>
    <w:lvl w:ilvl="7" w:tentative="0">
      <w:start w:val="1"/>
      <w:numFmt w:val="bullet"/>
      <w:lvlText w:val="o"/>
      <w:lvlJc w:val="left"/>
      <w:pPr>
        <w:ind w:left="6042" w:hanging="360"/>
      </w:pPr>
      <w:rPr>
        <w:rFonts w:hint="default" w:ascii="Courier New" w:hAnsi="Courier New" w:cs="Courier New"/>
      </w:rPr>
    </w:lvl>
    <w:lvl w:ilvl="8" w:tentative="0">
      <w:start w:val="1"/>
      <w:numFmt w:val="bullet"/>
      <w:lvlText w:val=""/>
      <w:lvlJc w:val="left"/>
      <w:pPr>
        <w:ind w:left="6762" w:hanging="360"/>
      </w:pPr>
      <w:rPr>
        <w:rFonts w:hint="default" w:ascii="Wingdings" w:hAnsi="Wingdings"/>
      </w:rPr>
    </w:lvl>
  </w:abstractNum>
  <w:abstractNum w:abstractNumId="3">
    <w:nsid w:val="37061778"/>
    <w:multiLevelType w:val="multilevel"/>
    <w:tmpl w:val="37061778"/>
    <w:lvl w:ilvl="0" w:tentative="0">
      <w:start w:val="1"/>
      <w:numFmt w:val="bullet"/>
      <w:lvlText w:val=""/>
      <w:lvlJc w:val="left"/>
      <w:pPr>
        <w:ind w:left="3936" w:hanging="360"/>
      </w:pPr>
      <w:rPr>
        <w:rFonts w:hint="default" w:ascii="Symbol" w:hAnsi="Symbol"/>
      </w:rPr>
    </w:lvl>
    <w:lvl w:ilvl="1" w:tentative="0">
      <w:start w:val="1"/>
      <w:numFmt w:val="bullet"/>
      <w:lvlText w:val="o"/>
      <w:lvlJc w:val="left"/>
      <w:pPr>
        <w:ind w:left="3948" w:hanging="360"/>
      </w:pPr>
      <w:rPr>
        <w:rFonts w:hint="default" w:ascii="Courier New" w:hAnsi="Courier New" w:cs="Courier New"/>
      </w:rPr>
    </w:lvl>
    <w:lvl w:ilvl="2" w:tentative="0">
      <w:start w:val="1"/>
      <w:numFmt w:val="bullet"/>
      <w:lvlText w:val=""/>
      <w:lvlJc w:val="left"/>
      <w:pPr>
        <w:ind w:left="4668" w:hanging="360"/>
      </w:pPr>
      <w:rPr>
        <w:rFonts w:hint="default" w:ascii="Wingdings" w:hAnsi="Wingdings"/>
      </w:rPr>
    </w:lvl>
    <w:lvl w:ilvl="3" w:tentative="0">
      <w:start w:val="1"/>
      <w:numFmt w:val="bullet"/>
      <w:lvlText w:val=""/>
      <w:lvlJc w:val="left"/>
      <w:pPr>
        <w:ind w:left="5388" w:hanging="360"/>
      </w:pPr>
      <w:rPr>
        <w:rFonts w:hint="default" w:ascii="Symbol" w:hAnsi="Symbol"/>
      </w:rPr>
    </w:lvl>
    <w:lvl w:ilvl="4" w:tentative="0">
      <w:start w:val="1"/>
      <w:numFmt w:val="bullet"/>
      <w:lvlText w:val="o"/>
      <w:lvlJc w:val="left"/>
      <w:pPr>
        <w:ind w:left="6108" w:hanging="360"/>
      </w:pPr>
      <w:rPr>
        <w:rFonts w:hint="default" w:ascii="Courier New" w:hAnsi="Courier New" w:cs="Courier New"/>
      </w:rPr>
    </w:lvl>
    <w:lvl w:ilvl="5" w:tentative="0">
      <w:start w:val="1"/>
      <w:numFmt w:val="bullet"/>
      <w:lvlText w:val=""/>
      <w:lvlJc w:val="left"/>
      <w:pPr>
        <w:ind w:left="6828" w:hanging="360"/>
      </w:pPr>
      <w:rPr>
        <w:rFonts w:hint="default" w:ascii="Wingdings" w:hAnsi="Wingdings"/>
      </w:rPr>
    </w:lvl>
    <w:lvl w:ilvl="6" w:tentative="0">
      <w:start w:val="1"/>
      <w:numFmt w:val="bullet"/>
      <w:lvlText w:val=""/>
      <w:lvlJc w:val="left"/>
      <w:pPr>
        <w:ind w:left="7548" w:hanging="360"/>
      </w:pPr>
      <w:rPr>
        <w:rFonts w:hint="default" w:ascii="Symbol" w:hAnsi="Symbol"/>
      </w:rPr>
    </w:lvl>
    <w:lvl w:ilvl="7" w:tentative="0">
      <w:start w:val="1"/>
      <w:numFmt w:val="bullet"/>
      <w:lvlText w:val="o"/>
      <w:lvlJc w:val="left"/>
      <w:pPr>
        <w:ind w:left="8268" w:hanging="360"/>
      </w:pPr>
      <w:rPr>
        <w:rFonts w:hint="default" w:ascii="Courier New" w:hAnsi="Courier New" w:cs="Courier New"/>
      </w:rPr>
    </w:lvl>
    <w:lvl w:ilvl="8" w:tentative="0">
      <w:start w:val="1"/>
      <w:numFmt w:val="bullet"/>
      <w:lvlText w:val=""/>
      <w:lvlJc w:val="left"/>
      <w:pPr>
        <w:ind w:left="8988" w:hanging="360"/>
      </w:pPr>
      <w:rPr>
        <w:rFonts w:hint="default" w:ascii="Wingdings" w:hAnsi="Wingdings"/>
      </w:rPr>
    </w:lvl>
  </w:abstractNum>
  <w:abstractNum w:abstractNumId="4">
    <w:nsid w:val="3C3A3E48"/>
    <w:multiLevelType w:val="multilevel"/>
    <w:tmpl w:val="3C3A3E48"/>
    <w:lvl w:ilvl="0" w:tentative="0">
      <w:start w:val="1"/>
      <w:numFmt w:val="bullet"/>
      <w:lvlText w:val=""/>
      <w:lvlJc w:val="left"/>
      <w:pPr>
        <w:ind w:left="6881" w:hanging="360"/>
      </w:pPr>
      <w:rPr>
        <w:rFonts w:hint="default" w:ascii="Symbol" w:hAnsi="Symbol"/>
      </w:rPr>
    </w:lvl>
    <w:lvl w:ilvl="1" w:tentative="0">
      <w:start w:val="1"/>
      <w:numFmt w:val="bullet"/>
      <w:lvlText w:val="o"/>
      <w:lvlJc w:val="left"/>
      <w:pPr>
        <w:ind w:left="3948" w:hanging="360"/>
      </w:pPr>
      <w:rPr>
        <w:rFonts w:hint="default" w:ascii="Courier New" w:hAnsi="Courier New" w:cs="Courier New"/>
      </w:rPr>
    </w:lvl>
    <w:lvl w:ilvl="2" w:tentative="0">
      <w:start w:val="1"/>
      <w:numFmt w:val="bullet"/>
      <w:lvlText w:val=""/>
      <w:lvlJc w:val="left"/>
      <w:pPr>
        <w:ind w:left="4668" w:hanging="360"/>
      </w:pPr>
      <w:rPr>
        <w:rFonts w:hint="default" w:ascii="Wingdings" w:hAnsi="Wingdings"/>
      </w:rPr>
    </w:lvl>
    <w:lvl w:ilvl="3" w:tentative="0">
      <w:start w:val="1"/>
      <w:numFmt w:val="bullet"/>
      <w:lvlText w:val=""/>
      <w:lvlJc w:val="left"/>
      <w:pPr>
        <w:ind w:left="5388" w:hanging="360"/>
      </w:pPr>
      <w:rPr>
        <w:rFonts w:hint="default" w:ascii="Symbol" w:hAnsi="Symbol"/>
      </w:rPr>
    </w:lvl>
    <w:lvl w:ilvl="4" w:tentative="0">
      <w:start w:val="1"/>
      <w:numFmt w:val="bullet"/>
      <w:lvlText w:val="o"/>
      <w:lvlJc w:val="left"/>
      <w:pPr>
        <w:ind w:left="6108" w:hanging="360"/>
      </w:pPr>
      <w:rPr>
        <w:rFonts w:hint="default" w:ascii="Courier New" w:hAnsi="Courier New" w:cs="Courier New"/>
      </w:rPr>
    </w:lvl>
    <w:lvl w:ilvl="5" w:tentative="0">
      <w:start w:val="1"/>
      <w:numFmt w:val="bullet"/>
      <w:lvlText w:val=""/>
      <w:lvlJc w:val="left"/>
      <w:pPr>
        <w:ind w:left="6828" w:hanging="360"/>
      </w:pPr>
      <w:rPr>
        <w:rFonts w:hint="default" w:ascii="Wingdings" w:hAnsi="Wingdings"/>
      </w:rPr>
    </w:lvl>
    <w:lvl w:ilvl="6" w:tentative="0">
      <w:start w:val="1"/>
      <w:numFmt w:val="bullet"/>
      <w:lvlText w:val=""/>
      <w:lvlJc w:val="left"/>
      <w:pPr>
        <w:ind w:left="7548" w:hanging="360"/>
      </w:pPr>
      <w:rPr>
        <w:rFonts w:hint="default" w:ascii="Symbol" w:hAnsi="Symbol"/>
      </w:rPr>
    </w:lvl>
    <w:lvl w:ilvl="7" w:tentative="0">
      <w:start w:val="1"/>
      <w:numFmt w:val="bullet"/>
      <w:lvlText w:val="o"/>
      <w:lvlJc w:val="left"/>
      <w:pPr>
        <w:ind w:left="8268" w:hanging="360"/>
      </w:pPr>
      <w:rPr>
        <w:rFonts w:hint="default" w:ascii="Courier New" w:hAnsi="Courier New" w:cs="Courier New"/>
      </w:rPr>
    </w:lvl>
    <w:lvl w:ilvl="8" w:tentative="0">
      <w:start w:val="1"/>
      <w:numFmt w:val="bullet"/>
      <w:lvlText w:val=""/>
      <w:lvlJc w:val="left"/>
      <w:pPr>
        <w:ind w:left="8988" w:hanging="360"/>
      </w:pPr>
      <w:rPr>
        <w:rFonts w:hint="default" w:ascii="Wingdings" w:hAnsi="Wingdings"/>
      </w:rPr>
    </w:lvl>
  </w:abstractNum>
  <w:abstractNum w:abstractNumId="5">
    <w:nsid w:val="5740744B"/>
    <w:multiLevelType w:val="multilevel"/>
    <w:tmpl w:val="5740744B"/>
    <w:lvl w:ilvl="0" w:tentative="0">
      <w:start w:val="1"/>
      <w:numFmt w:val="bullet"/>
      <w:lvlText w:val=""/>
      <w:lvlJc w:val="left"/>
      <w:pPr>
        <w:ind w:left="1353" w:hanging="360"/>
      </w:pPr>
      <w:rPr>
        <w:rFonts w:hint="default" w:ascii="Symbol" w:hAnsi="Symbo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abstractNum w:abstractNumId="6">
    <w:nsid w:val="57C908BA"/>
    <w:multiLevelType w:val="multilevel"/>
    <w:tmpl w:val="57C908BA"/>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655D76C7"/>
    <w:multiLevelType w:val="multilevel"/>
    <w:tmpl w:val="655D76C7"/>
    <w:lvl w:ilvl="0" w:tentative="0">
      <w:start w:val="1"/>
      <w:numFmt w:val="bullet"/>
      <w:lvlText w:val=""/>
      <w:lvlJc w:val="left"/>
      <w:pPr>
        <w:ind w:left="1428" w:hanging="360"/>
      </w:pPr>
      <w:rPr>
        <w:rFonts w:hint="default" w:ascii="Symbol" w:hAnsi="Symbol"/>
      </w:rPr>
    </w:lvl>
    <w:lvl w:ilvl="1" w:tentative="0">
      <w:start w:val="1"/>
      <w:numFmt w:val="bullet"/>
      <w:lvlText w:val=""/>
      <w:lvlJc w:val="left"/>
      <w:pPr>
        <w:ind w:left="2148" w:hanging="360"/>
      </w:pPr>
      <w:rPr>
        <w:rFonts w:hint="default" w:ascii="Symbol" w:hAnsi="Symbol"/>
      </w:rPr>
    </w:lvl>
    <w:lvl w:ilvl="2" w:tentative="0">
      <w:start w:val="0"/>
      <w:numFmt w:val="bullet"/>
      <w:lvlText w:val="-"/>
      <w:lvlJc w:val="left"/>
      <w:pPr>
        <w:ind w:left="2868" w:hanging="360"/>
      </w:pPr>
      <w:rPr>
        <w:rFonts w:hint="default" w:ascii="Times New Roman" w:hAnsi="Times New Roman" w:eastAsia="Times New Roman" w:cs="Times New Roman"/>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8">
    <w:nsid w:val="78C90640"/>
    <w:multiLevelType w:val="multilevel"/>
    <w:tmpl w:val="78C906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4"/>
  </w:num>
  <w:num w:numId="4">
    <w:abstractNumId w:val="2"/>
  </w:num>
  <w:num w:numId="5">
    <w:abstractNumId w:val="5"/>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evenAndOddHeaders w:val="1"/>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E0"/>
    <w:rsid w:val="00094BB9"/>
    <w:rsid w:val="000A491F"/>
    <w:rsid w:val="000B4CB7"/>
    <w:rsid w:val="0014024A"/>
    <w:rsid w:val="001471E0"/>
    <w:rsid w:val="0016383A"/>
    <w:rsid w:val="001B1106"/>
    <w:rsid w:val="001D1BE5"/>
    <w:rsid w:val="002005B0"/>
    <w:rsid w:val="002268C7"/>
    <w:rsid w:val="0024166D"/>
    <w:rsid w:val="002529F1"/>
    <w:rsid w:val="00267BF9"/>
    <w:rsid w:val="00293E54"/>
    <w:rsid w:val="002A6ECE"/>
    <w:rsid w:val="002D0B8A"/>
    <w:rsid w:val="002E1973"/>
    <w:rsid w:val="00300175"/>
    <w:rsid w:val="00320394"/>
    <w:rsid w:val="0033700E"/>
    <w:rsid w:val="003476AF"/>
    <w:rsid w:val="003A404F"/>
    <w:rsid w:val="003B2FF0"/>
    <w:rsid w:val="003E7F28"/>
    <w:rsid w:val="003F59FB"/>
    <w:rsid w:val="003F6AF9"/>
    <w:rsid w:val="0042299B"/>
    <w:rsid w:val="00450F58"/>
    <w:rsid w:val="00474532"/>
    <w:rsid w:val="00475C72"/>
    <w:rsid w:val="00486695"/>
    <w:rsid w:val="0049064D"/>
    <w:rsid w:val="004A2703"/>
    <w:rsid w:val="004C3A99"/>
    <w:rsid w:val="004D4CBD"/>
    <w:rsid w:val="004E4421"/>
    <w:rsid w:val="00532B5A"/>
    <w:rsid w:val="00543929"/>
    <w:rsid w:val="005676D6"/>
    <w:rsid w:val="00567B9F"/>
    <w:rsid w:val="005714D4"/>
    <w:rsid w:val="005C7768"/>
    <w:rsid w:val="005F45F7"/>
    <w:rsid w:val="00617DC9"/>
    <w:rsid w:val="00654AE7"/>
    <w:rsid w:val="00672996"/>
    <w:rsid w:val="00683660"/>
    <w:rsid w:val="006C206C"/>
    <w:rsid w:val="006D189B"/>
    <w:rsid w:val="0072104A"/>
    <w:rsid w:val="0072505C"/>
    <w:rsid w:val="00734E20"/>
    <w:rsid w:val="00736BE6"/>
    <w:rsid w:val="00752AE4"/>
    <w:rsid w:val="00760D89"/>
    <w:rsid w:val="00785EAC"/>
    <w:rsid w:val="0079303A"/>
    <w:rsid w:val="007979CE"/>
    <w:rsid w:val="007C1F2E"/>
    <w:rsid w:val="007E2622"/>
    <w:rsid w:val="00805E6F"/>
    <w:rsid w:val="008568F4"/>
    <w:rsid w:val="008949EC"/>
    <w:rsid w:val="008C3CE4"/>
    <w:rsid w:val="008D1104"/>
    <w:rsid w:val="008F1991"/>
    <w:rsid w:val="008F7530"/>
    <w:rsid w:val="00914C32"/>
    <w:rsid w:val="00925E6F"/>
    <w:rsid w:val="0094052A"/>
    <w:rsid w:val="00971419"/>
    <w:rsid w:val="009B0A10"/>
    <w:rsid w:val="009E1ADA"/>
    <w:rsid w:val="009E6027"/>
    <w:rsid w:val="00A0248B"/>
    <w:rsid w:val="00A21BF6"/>
    <w:rsid w:val="00A30C27"/>
    <w:rsid w:val="00A46D58"/>
    <w:rsid w:val="00A517BF"/>
    <w:rsid w:val="00A722EB"/>
    <w:rsid w:val="00A87438"/>
    <w:rsid w:val="00AB67FE"/>
    <w:rsid w:val="00AB6F87"/>
    <w:rsid w:val="00AD1990"/>
    <w:rsid w:val="00B41483"/>
    <w:rsid w:val="00B82B03"/>
    <w:rsid w:val="00B84E89"/>
    <w:rsid w:val="00B91240"/>
    <w:rsid w:val="00B93174"/>
    <w:rsid w:val="00BA30B0"/>
    <w:rsid w:val="00BB0B1D"/>
    <w:rsid w:val="00BB1B05"/>
    <w:rsid w:val="00BE2B16"/>
    <w:rsid w:val="00BF49CC"/>
    <w:rsid w:val="00C323D7"/>
    <w:rsid w:val="00C41011"/>
    <w:rsid w:val="00C50538"/>
    <w:rsid w:val="00C52C25"/>
    <w:rsid w:val="00C602DE"/>
    <w:rsid w:val="00C77847"/>
    <w:rsid w:val="00C84CB5"/>
    <w:rsid w:val="00C92BCA"/>
    <w:rsid w:val="00CB03EB"/>
    <w:rsid w:val="00CE5AA4"/>
    <w:rsid w:val="00CF6384"/>
    <w:rsid w:val="00D7716A"/>
    <w:rsid w:val="00D979FF"/>
    <w:rsid w:val="00DF5875"/>
    <w:rsid w:val="00E103CD"/>
    <w:rsid w:val="00E1242B"/>
    <w:rsid w:val="00E13798"/>
    <w:rsid w:val="00E16A99"/>
    <w:rsid w:val="00E379C0"/>
    <w:rsid w:val="00E46D75"/>
    <w:rsid w:val="00E9261C"/>
    <w:rsid w:val="00EA70BF"/>
    <w:rsid w:val="00F04F6C"/>
    <w:rsid w:val="00F13AF6"/>
    <w:rsid w:val="00F173FF"/>
    <w:rsid w:val="00F350E9"/>
    <w:rsid w:val="00F54F70"/>
    <w:rsid w:val="00F822C9"/>
    <w:rsid w:val="00FC26F7"/>
    <w:rsid w:val="00FC4486"/>
    <w:rsid w:val="00FE71CE"/>
    <w:rsid w:val="39050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nhideWhenUsed/>
    <w:uiPriority w:val="99"/>
    <w:pPr>
      <w:tabs>
        <w:tab w:val="center" w:pos="4703"/>
        <w:tab w:val="right" w:pos="9406"/>
      </w:tabs>
      <w:spacing w:after="0" w:line="240" w:lineRule="auto"/>
    </w:pPr>
  </w:style>
  <w:style w:type="paragraph" w:styleId="5">
    <w:name w:val="header"/>
    <w:basedOn w:val="1"/>
    <w:link w:val="8"/>
    <w:unhideWhenUsed/>
    <w:uiPriority w:val="99"/>
    <w:pPr>
      <w:tabs>
        <w:tab w:val="center" w:pos="4703"/>
        <w:tab w:val="right" w:pos="9406"/>
      </w:tabs>
      <w:spacing w:after="0" w:line="240" w:lineRule="auto"/>
    </w:pPr>
  </w:style>
  <w:style w:type="character" w:styleId="6">
    <w:name w:val="Hyperlink"/>
    <w:basedOn w:val="2"/>
    <w:unhideWhenUsed/>
    <w:uiPriority w:val="99"/>
    <w:rPr>
      <w:color w:val="0563C1" w:themeColor="hyperlink"/>
      <w:u w:val="single"/>
      <w14:textFill>
        <w14:solidFill>
          <w14:schemeClr w14:val="hlink"/>
        </w14:solidFill>
      </w14:textFill>
    </w:rPr>
  </w:style>
  <w:style w:type="table" w:styleId="7">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Header Char"/>
    <w:basedOn w:val="2"/>
    <w:link w:val="5"/>
    <w:qFormat/>
    <w:uiPriority w:val="99"/>
  </w:style>
  <w:style w:type="character" w:customStyle="1" w:styleId="9">
    <w:name w:val="Footer Char"/>
    <w:basedOn w:val="2"/>
    <w:link w:val="4"/>
    <w:qFormat/>
    <w:uiPriority w:val="99"/>
  </w:style>
  <w:style w:type="character" w:customStyle="1" w:styleId="10">
    <w:name w:val="Основен текст_"/>
    <w:basedOn w:val="2"/>
    <w:link w:val="11"/>
    <w:qFormat/>
    <w:uiPriority w:val="0"/>
    <w:rPr>
      <w:rFonts w:ascii="Times New Roman" w:hAnsi="Times New Roman" w:eastAsia="Times New Roman" w:cs="Times New Roman"/>
    </w:rPr>
  </w:style>
  <w:style w:type="paragraph" w:customStyle="1" w:styleId="11">
    <w:name w:val="Основен текст1"/>
    <w:basedOn w:val="1"/>
    <w:link w:val="10"/>
    <w:uiPriority w:val="0"/>
    <w:pPr>
      <w:widowControl w:val="0"/>
      <w:spacing w:after="100" w:line="240" w:lineRule="auto"/>
      <w:ind w:firstLine="400"/>
    </w:pPr>
    <w:rPr>
      <w:rFonts w:ascii="Times New Roman" w:hAnsi="Times New Roman" w:eastAsia="Times New Roman" w:cs="Times New Roman"/>
    </w:rPr>
  </w:style>
  <w:style w:type="paragraph" w:styleId="12">
    <w:name w:val="List Paragraph"/>
    <w:basedOn w:val="1"/>
    <w:qFormat/>
    <w:uiPriority w:val="34"/>
    <w:pPr>
      <w:ind w:left="720"/>
      <w:contextualSpacing/>
    </w:pPr>
  </w:style>
  <w:style w:type="character" w:customStyle="1" w:styleId="13">
    <w:name w:val="Unresolved Mention"/>
    <w:basedOn w:val="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datastoreItem>
</file>

<file path=docProps/app.xml><?xml version="1.0" encoding="utf-8"?>
<Properties xmlns="http://schemas.openxmlformats.org/officeDocument/2006/extended-properties" xmlns:vt="http://schemas.openxmlformats.org/officeDocument/2006/docPropsVTypes">
  <Template>Normal</Template>
  <Pages>16</Pages>
  <Words>4744</Words>
  <Characters>27041</Characters>
  <Lines>225</Lines>
  <Paragraphs>63</Paragraphs>
  <TotalTime>13</TotalTime>
  <ScaleCrop>false</ScaleCrop>
  <LinksUpToDate>false</LinksUpToDate>
  <CharactersWithSpaces>31722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2024-02-21T10:35:00Z</dcterms:created>
  <dc:creator>Martina Kehayova</dc:creator>
  <cp:lastModifiedBy>User</cp:lastModifiedBy>
  <cp:lastPrinted>2024-01-18T11:06:00Z</cp:lastPrinted>
  <dcterms:modified xsi:type="dcterms:W3CDTF">2024-03-05T10:05:56Z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D77C960BC893492A9B710FC358EDEF05_13</vt:lpwstr>
  </property>
</Properties>
</file>